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0673D" w14:textId="16F780A7" w:rsidR="00C06A42" w:rsidRPr="0034539B" w:rsidRDefault="00C06A42" w:rsidP="00C06A42">
      <w:pPr>
        <w:pStyle w:val="Default"/>
        <w:rPr>
          <w:rFonts w:ascii="Calibri" w:hAnsi="Calibri" w:cs="Calibri"/>
          <w:sz w:val="22"/>
          <w:szCs w:val="22"/>
          <w:lang w:val="en-GB"/>
        </w:rPr>
      </w:pPr>
    </w:p>
    <w:tbl>
      <w:tblPr>
        <w:tblpPr w:leftFromText="180" w:rightFromText="180" w:vertAnchor="page" w:horzAnchor="margin" w:tblpY="1469"/>
        <w:tblW w:w="10206" w:type="dxa"/>
        <w:tblLayout w:type="fixed"/>
        <w:tblLook w:val="0000" w:firstRow="0" w:lastRow="0" w:firstColumn="0" w:lastColumn="0" w:noHBand="0" w:noVBand="0"/>
      </w:tblPr>
      <w:tblGrid>
        <w:gridCol w:w="5245"/>
        <w:gridCol w:w="4961"/>
      </w:tblGrid>
      <w:tr w:rsidR="00C06A42" w:rsidRPr="0034539B" w14:paraId="1F84426C" w14:textId="77777777" w:rsidTr="003A7BC6">
        <w:trPr>
          <w:trHeight w:val="1538"/>
        </w:trPr>
        <w:tc>
          <w:tcPr>
            <w:tcW w:w="5245" w:type="dxa"/>
          </w:tcPr>
          <w:p w14:paraId="16F58EFE" w14:textId="656C726B" w:rsidR="00C06A42" w:rsidRPr="0034539B" w:rsidRDefault="00C41C34" w:rsidP="00E04382">
            <w:pPr>
              <w:pStyle w:val="Default"/>
              <w:rPr>
                <w:rFonts w:ascii="Calibri" w:hAnsi="Calibri" w:cs="Calibri"/>
                <w:sz w:val="22"/>
                <w:szCs w:val="22"/>
                <w:lang w:val="en-GB"/>
              </w:rPr>
            </w:pPr>
            <w:r w:rsidRPr="0034539B">
              <w:rPr>
                <w:rFonts w:ascii="Calibri" w:hAnsi="Calibri" w:cs="Calibri"/>
                <w:noProof/>
                <w:sz w:val="22"/>
                <w:szCs w:val="22"/>
                <w:lang w:val="en-GB"/>
              </w:rPr>
              <w:drawing>
                <wp:anchor distT="0" distB="0" distL="114300" distR="114300" simplePos="0" relativeHeight="251658240" behindDoc="0" locked="0" layoutInCell="1" allowOverlap="1" wp14:anchorId="30336ADD" wp14:editId="32F3C86D">
                  <wp:simplePos x="0" y="0"/>
                  <wp:positionH relativeFrom="column">
                    <wp:posOffset>2035175</wp:posOffset>
                  </wp:positionH>
                  <wp:positionV relativeFrom="paragraph">
                    <wp:posOffset>-19685</wp:posOffset>
                  </wp:positionV>
                  <wp:extent cx="2234565" cy="1041400"/>
                  <wp:effectExtent l="0" t="0" r="0" b="0"/>
                  <wp:wrapNone/>
                  <wp:docPr id="76" name="Picture 76"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descr="A blue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34565" cy="1041400"/>
                          </a:xfrm>
                          <a:prstGeom prst="rect">
                            <a:avLst/>
                          </a:prstGeom>
                          <a:noFill/>
                        </pic:spPr>
                      </pic:pic>
                    </a:graphicData>
                  </a:graphic>
                  <wp14:sizeRelH relativeFrom="margin">
                    <wp14:pctWidth>0</wp14:pctWidth>
                  </wp14:sizeRelH>
                  <wp14:sizeRelV relativeFrom="margin">
                    <wp14:pctHeight>0</wp14:pctHeight>
                  </wp14:sizeRelV>
                </wp:anchor>
              </w:drawing>
            </w:r>
            <w:r w:rsidR="00C06A42" w:rsidRPr="0034539B">
              <w:rPr>
                <w:rFonts w:ascii="Calibri" w:hAnsi="Calibri" w:cs="Calibri"/>
                <w:sz w:val="22"/>
                <w:szCs w:val="22"/>
                <w:lang w:val="en-GB"/>
              </w:rPr>
              <w:t xml:space="preserve">  </w:t>
            </w:r>
          </w:p>
          <w:p w14:paraId="16231F68" w14:textId="11FE4C9E" w:rsidR="00C06A42" w:rsidRPr="0034539B" w:rsidRDefault="00C06A42" w:rsidP="00E04382">
            <w:pPr>
              <w:pStyle w:val="Default"/>
              <w:rPr>
                <w:rFonts w:ascii="Calibri" w:hAnsi="Calibri" w:cs="Calibri"/>
                <w:sz w:val="22"/>
                <w:szCs w:val="22"/>
                <w:lang w:val="en-GB"/>
              </w:rPr>
            </w:pPr>
          </w:p>
        </w:tc>
        <w:tc>
          <w:tcPr>
            <w:tcW w:w="4961" w:type="dxa"/>
            <w:vAlign w:val="center"/>
          </w:tcPr>
          <w:p w14:paraId="5C788FC7" w14:textId="07D73081" w:rsidR="00C06A42" w:rsidRPr="0034539B" w:rsidRDefault="00C06A42" w:rsidP="003A7BC6">
            <w:pPr>
              <w:pStyle w:val="Default"/>
              <w:jc w:val="right"/>
              <w:rPr>
                <w:rFonts w:ascii="Calibri" w:hAnsi="Calibri" w:cs="Calibri"/>
                <w:sz w:val="22"/>
                <w:szCs w:val="22"/>
                <w:lang w:val="en-GB"/>
              </w:rPr>
            </w:pPr>
          </w:p>
          <w:p w14:paraId="1830AB93" w14:textId="77777777" w:rsidR="00C06A42" w:rsidRPr="0034539B" w:rsidRDefault="00C06A42" w:rsidP="003A7BC6">
            <w:pPr>
              <w:pStyle w:val="Default"/>
              <w:jc w:val="right"/>
              <w:rPr>
                <w:rFonts w:ascii="Calibri" w:hAnsi="Calibri" w:cs="Calibri"/>
                <w:sz w:val="22"/>
                <w:szCs w:val="22"/>
                <w:lang w:val="en-GB"/>
              </w:rPr>
            </w:pPr>
          </w:p>
          <w:p w14:paraId="1E32D78F" w14:textId="77777777" w:rsidR="00C06A42" w:rsidRPr="0034539B" w:rsidRDefault="00C06A42" w:rsidP="003A7BC6">
            <w:pPr>
              <w:pStyle w:val="Default"/>
              <w:jc w:val="right"/>
              <w:rPr>
                <w:rFonts w:ascii="Calibri" w:hAnsi="Calibri" w:cs="Calibri"/>
                <w:sz w:val="22"/>
                <w:szCs w:val="22"/>
                <w:lang w:val="en-GB"/>
              </w:rPr>
            </w:pPr>
          </w:p>
        </w:tc>
      </w:tr>
      <w:tr w:rsidR="00C06A42" w:rsidRPr="0034539B" w14:paraId="61988EB5" w14:textId="77777777" w:rsidTr="007E3A43">
        <w:trPr>
          <w:trHeight w:val="300"/>
        </w:trPr>
        <w:tc>
          <w:tcPr>
            <w:tcW w:w="10206" w:type="dxa"/>
            <w:gridSpan w:val="2"/>
          </w:tcPr>
          <w:p w14:paraId="2FF4E8ED" w14:textId="41917048" w:rsidR="00C06A42" w:rsidRPr="0034539B" w:rsidRDefault="00C06A42" w:rsidP="00E04382">
            <w:pPr>
              <w:pStyle w:val="Default"/>
              <w:rPr>
                <w:rFonts w:ascii="Calibri" w:hAnsi="Calibri" w:cs="Calibri"/>
                <w:sz w:val="22"/>
                <w:szCs w:val="22"/>
                <w:lang w:val="en-GB"/>
              </w:rPr>
            </w:pPr>
            <w:r w:rsidRPr="0034539B">
              <w:rPr>
                <w:rFonts w:ascii="Calibri" w:hAnsi="Calibri" w:cs="Calibri"/>
                <w:sz w:val="22"/>
                <w:szCs w:val="22"/>
                <w:lang w:val="en-GB"/>
              </w:rPr>
              <w:t>___________________________________________________________________________</w:t>
            </w:r>
            <w:r w:rsidR="003A7BC6">
              <w:rPr>
                <w:rFonts w:ascii="Calibri" w:hAnsi="Calibri" w:cs="Calibri"/>
                <w:sz w:val="22"/>
                <w:szCs w:val="22"/>
                <w:lang w:val="en-GB"/>
              </w:rPr>
              <w:t>________</w:t>
            </w:r>
            <w:r w:rsidRPr="0034539B">
              <w:rPr>
                <w:rFonts w:ascii="Calibri" w:hAnsi="Calibri" w:cs="Calibri"/>
                <w:sz w:val="22"/>
                <w:szCs w:val="22"/>
                <w:lang w:val="en-GB"/>
              </w:rPr>
              <w:t>________</w:t>
            </w:r>
          </w:p>
        </w:tc>
      </w:tr>
    </w:tbl>
    <w:p w14:paraId="34A7A1F4" w14:textId="77777777" w:rsidR="00C06A42" w:rsidRPr="0034539B" w:rsidRDefault="00C06A42" w:rsidP="00C06A42">
      <w:pPr>
        <w:pStyle w:val="Default"/>
        <w:rPr>
          <w:rFonts w:ascii="Calibri" w:hAnsi="Calibri" w:cs="Calibri"/>
          <w:sz w:val="22"/>
          <w:szCs w:val="22"/>
          <w:lang w:val="en-GB"/>
        </w:rPr>
      </w:pPr>
    </w:p>
    <w:p w14:paraId="6FC14763" w14:textId="77777777" w:rsidR="00F80D22" w:rsidRPr="0034539B" w:rsidRDefault="00F80D22" w:rsidP="00C06A42">
      <w:pPr>
        <w:pStyle w:val="Default"/>
        <w:jc w:val="center"/>
        <w:rPr>
          <w:rFonts w:ascii="Calibri" w:hAnsi="Calibri" w:cs="Arial"/>
          <w:b/>
          <w:bCs/>
          <w:color w:val="auto"/>
          <w:sz w:val="32"/>
          <w:szCs w:val="32"/>
          <w:lang w:val="en-GB"/>
        </w:rPr>
      </w:pPr>
    </w:p>
    <w:p w14:paraId="7C7F1EA0" w14:textId="77777777" w:rsidR="00F80D22" w:rsidRPr="0034539B" w:rsidRDefault="00F80D22" w:rsidP="00C06A42">
      <w:pPr>
        <w:pStyle w:val="Default"/>
        <w:jc w:val="center"/>
        <w:rPr>
          <w:rFonts w:ascii="Calibri" w:hAnsi="Calibri" w:cs="Arial"/>
          <w:b/>
          <w:bCs/>
          <w:color w:val="auto"/>
          <w:sz w:val="32"/>
          <w:szCs w:val="32"/>
          <w:lang w:val="en-GB"/>
        </w:rPr>
      </w:pPr>
    </w:p>
    <w:p w14:paraId="78996F4A" w14:textId="77777777" w:rsidR="00C60205" w:rsidRPr="0034539B" w:rsidRDefault="00C60205" w:rsidP="00C06A42">
      <w:pPr>
        <w:pStyle w:val="Default"/>
        <w:jc w:val="center"/>
        <w:rPr>
          <w:rFonts w:ascii="Calibri" w:hAnsi="Calibri" w:cs="Arial"/>
          <w:b/>
          <w:bCs/>
          <w:color w:val="auto"/>
          <w:sz w:val="32"/>
          <w:szCs w:val="32"/>
          <w:lang w:val="en-GB"/>
        </w:rPr>
      </w:pPr>
    </w:p>
    <w:p w14:paraId="4B8683B1" w14:textId="77777777" w:rsidR="00C60205" w:rsidRPr="0034539B" w:rsidRDefault="00C60205" w:rsidP="00C06A42">
      <w:pPr>
        <w:pStyle w:val="Default"/>
        <w:jc w:val="center"/>
        <w:rPr>
          <w:rFonts w:ascii="Calibri" w:hAnsi="Calibri" w:cs="Arial"/>
          <w:b/>
          <w:bCs/>
          <w:color w:val="auto"/>
          <w:sz w:val="32"/>
          <w:szCs w:val="32"/>
          <w:lang w:val="en-GB"/>
        </w:rPr>
      </w:pPr>
    </w:p>
    <w:p w14:paraId="715C13E1" w14:textId="77777777" w:rsidR="00F80D22" w:rsidRPr="0034539B" w:rsidRDefault="00F80D22" w:rsidP="00C06A42">
      <w:pPr>
        <w:pStyle w:val="Default"/>
        <w:jc w:val="center"/>
        <w:rPr>
          <w:rFonts w:ascii="Calibri" w:hAnsi="Calibri" w:cs="Arial"/>
          <w:b/>
          <w:bCs/>
          <w:color w:val="auto"/>
          <w:sz w:val="32"/>
          <w:szCs w:val="32"/>
          <w:lang w:val="en-GB"/>
        </w:rPr>
      </w:pPr>
    </w:p>
    <w:p w14:paraId="79AF73EE" w14:textId="7C1A55B8" w:rsidR="00C06A42" w:rsidRPr="0034539B" w:rsidRDefault="004A4C3B" w:rsidP="004A4C3B">
      <w:pPr>
        <w:pStyle w:val="CoverPageHeadline"/>
      </w:pPr>
      <w:r>
        <w:t xml:space="preserve">Update of the </w:t>
      </w:r>
      <w:r w:rsidR="00C06A42" w:rsidRPr="0034539B">
        <w:t xml:space="preserve">SEEA </w:t>
      </w:r>
      <w:r w:rsidR="00F80D22" w:rsidRPr="0034539B">
        <w:t xml:space="preserve">Central Framework </w:t>
      </w:r>
    </w:p>
    <w:p w14:paraId="5AFF5B09" w14:textId="77777777" w:rsidR="00C06A42" w:rsidRPr="0034539B" w:rsidRDefault="00C06A42" w:rsidP="00C06A42"/>
    <w:p w14:paraId="2C365F61" w14:textId="77777777" w:rsidR="00B80C48" w:rsidRPr="0034539B" w:rsidRDefault="00B80C48" w:rsidP="00C06A42"/>
    <w:p w14:paraId="11543F90" w14:textId="77777777" w:rsidR="00C06A42" w:rsidRPr="0034539B" w:rsidRDefault="00C06A42" w:rsidP="00C06A42"/>
    <w:p w14:paraId="6817423D" w14:textId="7E9828E5" w:rsidR="00C06A42" w:rsidRDefault="004A4C3B" w:rsidP="00C73DE6">
      <w:pPr>
        <w:pStyle w:val="CoverPageHeadline"/>
      </w:pPr>
      <w:r>
        <w:t xml:space="preserve">Draft </w:t>
      </w:r>
      <w:r w:rsidR="00C81F8C">
        <w:t xml:space="preserve">Guidance </w:t>
      </w:r>
      <w:r w:rsidR="009524C1">
        <w:t>Note</w:t>
      </w:r>
    </w:p>
    <w:p w14:paraId="7AA9EF98" w14:textId="77777777" w:rsidR="00D76BD2" w:rsidRDefault="00D76BD2" w:rsidP="00C06A42">
      <w:pPr>
        <w:pStyle w:val="Default"/>
        <w:jc w:val="center"/>
        <w:rPr>
          <w:rFonts w:ascii="Calibri" w:hAnsi="Calibri" w:cs="Arial"/>
          <w:b/>
          <w:bCs/>
          <w:color w:val="auto"/>
          <w:sz w:val="52"/>
          <w:szCs w:val="52"/>
          <w:lang w:val="en-GB"/>
        </w:rPr>
      </w:pPr>
    </w:p>
    <w:p w14:paraId="615BA715" w14:textId="0D651347" w:rsidR="00D76BD2" w:rsidRDefault="00C81F8C" w:rsidP="00C73DE6">
      <w:pPr>
        <w:pStyle w:val="CoverPageHeadline"/>
      </w:pPr>
      <w:r>
        <w:t>D1: Carbon Stock Account</w:t>
      </w:r>
    </w:p>
    <w:p w14:paraId="1ACDCE7B" w14:textId="77777777" w:rsidR="00D76BD2" w:rsidRDefault="00D76BD2" w:rsidP="00C06A42">
      <w:pPr>
        <w:pStyle w:val="Default"/>
        <w:jc w:val="center"/>
        <w:rPr>
          <w:rFonts w:ascii="Calibri" w:hAnsi="Calibri" w:cs="Arial"/>
          <w:b/>
          <w:bCs/>
          <w:color w:val="auto"/>
          <w:sz w:val="52"/>
          <w:szCs w:val="52"/>
          <w:lang w:val="en-GB"/>
        </w:rPr>
      </w:pPr>
    </w:p>
    <w:p w14:paraId="5F551093" w14:textId="77777777" w:rsidR="00C06A42" w:rsidRPr="0034539B" w:rsidRDefault="00C06A42" w:rsidP="00C06A42">
      <w:pPr>
        <w:pStyle w:val="Default"/>
        <w:rPr>
          <w:rFonts w:asciiTheme="minorHAnsi" w:hAnsiTheme="minorHAnsi" w:cstheme="minorHAnsi"/>
          <w:i/>
          <w:iCs/>
          <w:sz w:val="22"/>
          <w:szCs w:val="22"/>
          <w:lang w:val="en-GB"/>
        </w:rPr>
      </w:pPr>
    </w:p>
    <w:p w14:paraId="5D69BF40" w14:textId="77777777" w:rsidR="00C06A42" w:rsidRPr="0034539B" w:rsidRDefault="00C06A42" w:rsidP="00C06A42">
      <w:pPr>
        <w:pStyle w:val="Default"/>
        <w:rPr>
          <w:rFonts w:asciiTheme="minorHAnsi" w:hAnsiTheme="minorHAnsi" w:cstheme="minorHAnsi"/>
          <w:i/>
          <w:iCs/>
          <w:sz w:val="22"/>
          <w:szCs w:val="22"/>
          <w:lang w:val="en-GB"/>
        </w:rPr>
      </w:pPr>
    </w:p>
    <w:p w14:paraId="3CDAF103" w14:textId="77777777" w:rsidR="00C06A42" w:rsidRPr="0034539B" w:rsidRDefault="00C06A42" w:rsidP="00C06A42">
      <w:pPr>
        <w:pStyle w:val="Default"/>
        <w:rPr>
          <w:rFonts w:asciiTheme="minorHAnsi" w:hAnsiTheme="minorHAnsi" w:cstheme="minorHAnsi"/>
          <w:i/>
          <w:iCs/>
          <w:sz w:val="22"/>
          <w:szCs w:val="22"/>
          <w:lang w:val="en-GB"/>
        </w:rPr>
      </w:pPr>
    </w:p>
    <w:p w14:paraId="318CF26B" w14:textId="77777777" w:rsidR="00C06A42" w:rsidRPr="0034539B" w:rsidRDefault="00C06A42" w:rsidP="00C06A42">
      <w:pPr>
        <w:pStyle w:val="Default"/>
        <w:rPr>
          <w:rFonts w:asciiTheme="minorHAnsi" w:hAnsiTheme="minorHAnsi" w:cstheme="minorHAnsi"/>
          <w:i/>
          <w:iCs/>
          <w:sz w:val="22"/>
          <w:szCs w:val="22"/>
          <w:lang w:val="en-GB"/>
        </w:rPr>
      </w:pPr>
    </w:p>
    <w:p w14:paraId="073CC9F1" w14:textId="77777777" w:rsidR="00C06A42" w:rsidRPr="0034539B" w:rsidRDefault="00C06A42" w:rsidP="00C06A42">
      <w:pPr>
        <w:pStyle w:val="Default"/>
        <w:rPr>
          <w:rFonts w:asciiTheme="minorHAnsi" w:hAnsiTheme="minorHAnsi" w:cstheme="minorHAnsi"/>
          <w:i/>
          <w:iCs/>
          <w:sz w:val="22"/>
          <w:szCs w:val="22"/>
          <w:lang w:val="en-GB"/>
        </w:rPr>
      </w:pPr>
    </w:p>
    <w:p w14:paraId="051C120F" w14:textId="77777777" w:rsidR="00C60205" w:rsidRPr="0034539B" w:rsidRDefault="00C60205" w:rsidP="00C06A42">
      <w:pPr>
        <w:pStyle w:val="Default"/>
        <w:rPr>
          <w:rFonts w:asciiTheme="minorHAnsi" w:hAnsiTheme="minorHAnsi" w:cstheme="minorHAnsi"/>
          <w:i/>
          <w:iCs/>
          <w:sz w:val="22"/>
          <w:szCs w:val="22"/>
          <w:lang w:val="en-GB"/>
        </w:rPr>
      </w:pPr>
    </w:p>
    <w:p w14:paraId="421BD893" w14:textId="77777777" w:rsidR="00C06A42" w:rsidRPr="0034539B" w:rsidRDefault="00C06A42" w:rsidP="00C06A42">
      <w:pPr>
        <w:pStyle w:val="Default"/>
        <w:rPr>
          <w:rFonts w:asciiTheme="minorHAnsi" w:hAnsiTheme="minorHAnsi" w:cstheme="minorHAnsi"/>
          <w:i/>
          <w:iCs/>
          <w:sz w:val="22"/>
          <w:szCs w:val="22"/>
          <w:lang w:val="en-GB"/>
        </w:rPr>
      </w:pPr>
    </w:p>
    <w:p w14:paraId="415057D1" w14:textId="6392E736" w:rsidR="00C06A42" w:rsidRPr="0034539B" w:rsidRDefault="00C60205" w:rsidP="00C73DE6">
      <w:r w:rsidRPr="0034539B">
        <w:t>Version</w:t>
      </w:r>
      <w:r w:rsidR="009524C1">
        <w:t xml:space="preserve"> </w:t>
      </w:r>
      <w:r w:rsidR="00850F28">
        <w:t>4</w:t>
      </w:r>
      <w:r w:rsidR="00BC3020">
        <w:t>.</w:t>
      </w:r>
      <w:r w:rsidR="009604D8">
        <w:t>2</w:t>
      </w:r>
      <w:r w:rsidR="004A4C3B">
        <w:t xml:space="preserve">: For discussion </w:t>
      </w:r>
      <w:r w:rsidR="00846F7C">
        <w:t>at the SEEA CF Technical Committee Meeting. Guatemala, 9-11</w:t>
      </w:r>
      <w:r w:rsidRPr="0034539B">
        <w:t xml:space="preserve"> </w:t>
      </w:r>
      <w:r w:rsidR="00FA557B">
        <w:t>September</w:t>
      </w:r>
      <w:r w:rsidR="00850F28">
        <w:t xml:space="preserve"> </w:t>
      </w:r>
      <w:r w:rsidRPr="0034539B">
        <w:t>202</w:t>
      </w:r>
      <w:r w:rsidR="00850F28">
        <w:t>6</w:t>
      </w:r>
    </w:p>
    <w:p w14:paraId="0BD588A2" w14:textId="77777777" w:rsidR="00C06A42" w:rsidRDefault="00C06A42" w:rsidP="00C06A42">
      <w:pPr>
        <w:pStyle w:val="Default"/>
        <w:rPr>
          <w:rFonts w:asciiTheme="minorHAnsi" w:hAnsiTheme="minorHAnsi" w:cstheme="minorHAnsi"/>
          <w:i/>
          <w:iCs/>
          <w:sz w:val="22"/>
          <w:szCs w:val="22"/>
          <w:lang w:val="en-GB"/>
        </w:rPr>
      </w:pPr>
    </w:p>
    <w:p w14:paraId="048FFD26" w14:textId="548ED25F" w:rsidR="00403A7B" w:rsidRPr="0034539B" w:rsidRDefault="00403A7B" w:rsidP="00403A7B">
      <w:pPr>
        <w:pStyle w:val="Default"/>
        <w:rPr>
          <w:rFonts w:asciiTheme="minorHAnsi" w:hAnsiTheme="minorHAnsi" w:cstheme="minorHAnsi"/>
          <w:i/>
          <w:iCs/>
          <w:sz w:val="22"/>
          <w:szCs w:val="22"/>
          <w:lang w:val="en-GB"/>
        </w:rPr>
      </w:pPr>
      <w:r>
        <w:rPr>
          <w:rFonts w:asciiTheme="minorHAnsi" w:hAnsiTheme="minorHAnsi" w:cstheme="minorHAnsi"/>
          <w:i/>
          <w:iCs/>
          <w:sz w:val="22"/>
          <w:szCs w:val="22"/>
          <w:lang w:val="en-GB"/>
        </w:rPr>
        <w:t>Prepared by Carl Obst with support from Lars Hein, Heather Keith, Roberto Astolfi</w:t>
      </w:r>
      <w:r w:rsidR="00784A36">
        <w:rPr>
          <w:rFonts w:asciiTheme="minorHAnsi" w:hAnsiTheme="minorHAnsi" w:cstheme="minorHAnsi"/>
          <w:i/>
          <w:iCs/>
          <w:sz w:val="22"/>
          <w:szCs w:val="22"/>
          <w:lang w:val="en-GB"/>
        </w:rPr>
        <w:t xml:space="preserve"> and </w:t>
      </w:r>
      <w:r>
        <w:rPr>
          <w:rFonts w:asciiTheme="minorHAnsi" w:hAnsiTheme="minorHAnsi" w:cstheme="minorHAnsi"/>
          <w:i/>
          <w:iCs/>
          <w:sz w:val="22"/>
          <w:szCs w:val="22"/>
          <w:lang w:val="en-GB"/>
        </w:rPr>
        <w:t>Lisa Green</w:t>
      </w:r>
    </w:p>
    <w:p w14:paraId="38C822BF" w14:textId="77777777" w:rsidR="00403A7B" w:rsidRDefault="00403A7B" w:rsidP="00C06A42">
      <w:pPr>
        <w:pStyle w:val="Default"/>
        <w:rPr>
          <w:rFonts w:asciiTheme="minorHAnsi" w:hAnsiTheme="minorHAnsi" w:cstheme="minorHAnsi"/>
          <w:i/>
          <w:iCs/>
          <w:sz w:val="22"/>
          <w:szCs w:val="22"/>
          <w:lang w:val="en-GB"/>
        </w:rPr>
      </w:pPr>
    </w:p>
    <w:p w14:paraId="7FFF69EF" w14:textId="77777777" w:rsidR="00403A7B" w:rsidRPr="0034539B" w:rsidRDefault="00403A7B" w:rsidP="00C06A42">
      <w:pPr>
        <w:pStyle w:val="Default"/>
        <w:rPr>
          <w:rFonts w:asciiTheme="minorHAnsi" w:hAnsiTheme="minorHAnsi" w:cstheme="minorHAnsi"/>
          <w:i/>
          <w:iCs/>
          <w:sz w:val="22"/>
          <w:szCs w:val="22"/>
          <w:lang w:val="en-GB"/>
        </w:rPr>
      </w:pPr>
    </w:p>
    <w:p w14:paraId="5CD5242E" w14:textId="77777777" w:rsidR="00C06A42" w:rsidRPr="0034539B" w:rsidRDefault="00C06A42" w:rsidP="00C06A42">
      <w:pPr>
        <w:rPr>
          <w:b/>
          <w:bCs/>
          <w:sz w:val="28"/>
          <w:szCs w:val="28"/>
        </w:rPr>
      </w:pPr>
      <w:r w:rsidRPr="0034539B">
        <w:rPr>
          <w:b/>
          <w:bCs/>
          <w:sz w:val="28"/>
          <w:szCs w:val="28"/>
        </w:rPr>
        <w:br w:type="page"/>
      </w:r>
    </w:p>
    <w:p w14:paraId="32036434" w14:textId="45B3751A" w:rsidR="00AE67E7" w:rsidRPr="00C82447" w:rsidRDefault="00AE67E7" w:rsidP="00AE67E7">
      <w:pPr>
        <w:pStyle w:val="FranklinHeader"/>
      </w:pPr>
      <w:r w:rsidRPr="00C82447">
        <w:lastRenderedPageBreak/>
        <w:t xml:space="preserve">GUIDANCE NOTE </w:t>
      </w:r>
      <w:r w:rsidRPr="00C73DE6">
        <w:t>Issue</w:t>
      </w:r>
      <w:r w:rsidRPr="00C82447">
        <w:t xml:space="preserve"> </w:t>
      </w:r>
      <w:r w:rsidR="00B93805">
        <w:t>D1</w:t>
      </w:r>
      <w:r>
        <w:t>: C</w:t>
      </w:r>
      <w:r w:rsidR="00B93805">
        <w:t>arbon stock account</w:t>
      </w:r>
    </w:p>
    <w:p w14:paraId="30D86CCE" w14:textId="73032D14" w:rsidR="00B93805" w:rsidRDefault="00A914A9">
      <w:pPr>
        <w:pStyle w:val="TOC1"/>
        <w:tabs>
          <w:tab w:val="right" w:leader="dot" w:pos="10070"/>
        </w:tabs>
        <w:rPr>
          <w:rFonts w:eastAsiaTheme="minorEastAsia" w:cstheme="minorBidi"/>
          <w:b w:val="0"/>
          <w:bCs w:val="0"/>
          <w:caps w:val="0"/>
          <w:noProof/>
          <w:kern w:val="2"/>
          <w:sz w:val="24"/>
          <w:szCs w:val="24"/>
          <w14:ligatures w14:val="standardContextual"/>
        </w:rPr>
      </w:pPr>
      <w:r>
        <w:rPr>
          <w:rFonts w:eastAsia="PMingLiU"/>
          <w:b w:val="0"/>
          <w:bCs w:val="0"/>
          <w:caps w:val="0"/>
        </w:rPr>
        <w:fldChar w:fldCharType="begin"/>
      </w:r>
      <w:r>
        <w:rPr>
          <w:rFonts w:eastAsia="PMingLiU"/>
          <w:b w:val="0"/>
          <w:bCs w:val="0"/>
          <w:caps w:val="0"/>
        </w:rPr>
        <w:instrText xml:space="preserve"> TOC \o "1-3" \h \z \u </w:instrText>
      </w:r>
      <w:r>
        <w:rPr>
          <w:rFonts w:eastAsia="PMingLiU"/>
          <w:b w:val="0"/>
          <w:bCs w:val="0"/>
          <w:caps w:val="0"/>
        </w:rPr>
        <w:fldChar w:fldCharType="separate"/>
      </w:r>
      <w:hyperlink w:anchor="_Toc239173034" w:history="1">
        <w:r w:rsidR="00B93805" w:rsidRPr="00CF73D0">
          <w:rPr>
            <w:rStyle w:val="Hyperlink"/>
            <w:noProof/>
          </w:rPr>
          <w:t>Executive summary</w:t>
        </w:r>
        <w:r w:rsidR="00B93805">
          <w:rPr>
            <w:noProof/>
            <w:webHidden/>
          </w:rPr>
          <w:tab/>
        </w:r>
        <w:r w:rsidR="00B93805">
          <w:rPr>
            <w:noProof/>
            <w:webHidden/>
          </w:rPr>
          <w:fldChar w:fldCharType="begin"/>
        </w:r>
        <w:r w:rsidR="00B93805">
          <w:rPr>
            <w:noProof/>
            <w:webHidden/>
          </w:rPr>
          <w:instrText xml:space="preserve"> PAGEREF _Toc239173034 \h </w:instrText>
        </w:r>
        <w:r w:rsidR="00B93805">
          <w:rPr>
            <w:noProof/>
            <w:webHidden/>
          </w:rPr>
        </w:r>
        <w:r w:rsidR="00B93805">
          <w:rPr>
            <w:noProof/>
            <w:webHidden/>
          </w:rPr>
          <w:fldChar w:fldCharType="separate"/>
        </w:r>
        <w:r w:rsidR="00B93805">
          <w:rPr>
            <w:noProof/>
            <w:webHidden/>
          </w:rPr>
          <w:t>3</w:t>
        </w:r>
        <w:r w:rsidR="00B93805">
          <w:rPr>
            <w:noProof/>
            <w:webHidden/>
          </w:rPr>
          <w:fldChar w:fldCharType="end"/>
        </w:r>
      </w:hyperlink>
    </w:p>
    <w:p w14:paraId="79D2EAA2" w14:textId="041BD7D6" w:rsidR="00B93805" w:rsidRDefault="00B93805">
      <w:pPr>
        <w:pStyle w:val="TOC2"/>
        <w:tabs>
          <w:tab w:val="right" w:leader="dot" w:pos="10070"/>
        </w:tabs>
        <w:rPr>
          <w:rFonts w:eastAsiaTheme="minorEastAsia" w:cstheme="minorBidi"/>
          <w:smallCaps w:val="0"/>
          <w:noProof/>
          <w:kern w:val="2"/>
          <w:sz w:val="24"/>
          <w:szCs w:val="24"/>
          <w14:ligatures w14:val="standardContextual"/>
        </w:rPr>
      </w:pPr>
      <w:hyperlink w:anchor="_Toc239173035" w:history="1">
        <w:r w:rsidRPr="00CF73D0">
          <w:rPr>
            <w:rStyle w:val="Hyperlink"/>
            <w:noProof/>
          </w:rPr>
          <w:t>Description of issue</w:t>
        </w:r>
        <w:r>
          <w:rPr>
            <w:noProof/>
            <w:webHidden/>
          </w:rPr>
          <w:tab/>
        </w:r>
        <w:r>
          <w:rPr>
            <w:noProof/>
            <w:webHidden/>
          </w:rPr>
          <w:fldChar w:fldCharType="begin"/>
        </w:r>
        <w:r>
          <w:rPr>
            <w:noProof/>
            <w:webHidden/>
          </w:rPr>
          <w:instrText xml:space="preserve"> PAGEREF _Toc239173035 \h </w:instrText>
        </w:r>
        <w:r>
          <w:rPr>
            <w:noProof/>
            <w:webHidden/>
          </w:rPr>
        </w:r>
        <w:r>
          <w:rPr>
            <w:noProof/>
            <w:webHidden/>
          </w:rPr>
          <w:fldChar w:fldCharType="separate"/>
        </w:r>
        <w:r>
          <w:rPr>
            <w:noProof/>
            <w:webHidden/>
          </w:rPr>
          <w:t>3</w:t>
        </w:r>
        <w:r>
          <w:rPr>
            <w:noProof/>
            <w:webHidden/>
          </w:rPr>
          <w:fldChar w:fldCharType="end"/>
        </w:r>
      </w:hyperlink>
    </w:p>
    <w:p w14:paraId="2B8033DA" w14:textId="501F36A9" w:rsidR="00B93805" w:rsidRDefault="00B93805">
      <w:pPr>
        <w:pStyle w:val="TOC2"/>
        <w:tabs>
          <w:tab w:val="right" w:leader="dot" w:pos="10070"/>
        </w:tabs>
        <w:rPr>
          <w:rFonts w:eastAsiaTheme="minorEastAsia" w:cstheme="minorBidi"/>
          <w:smallCaps w:val="0"/>
          <w:noProof/>
          <w:kern w:val="2"/>
          <w:sz w:val="24"/>
          <w:szCs w:val="24"/>
          <w14:ligatures w14:val="standardContextual"/>
        </w:rPr>
      </w:pPr>
      <w:hyperlink w:anchor="_Toc239173036" w:history="1">
        <w:r w:rsidRPr="00CF73D0">
          <w:rPr>
            <w:rStyle w:val="Hyperlink"/>
            <w:noProof/>
          </w:rPr>
          <w:t>Summary of proposals</w:t>
        </w:r>
        <w:r>
          <w:rPr>
            <w:noProof/>
            <w:webHidden/>
          </w:rPr>
          <w:tab/>
        </w:r>
        <w:r>
          <w:rPr>
            <w:noProof/>
            <w:webHidden/>
          </w:rPr>
          <w:fldChar w:fldCharType="begin"/>
        </w:r>
        <w:r>
          <w:rPr>
            <w:noProof/>
            <w:webHidden/>
          </w:rPr>
          <w:instrText xml:space="preserve"> PAGEREF _Toc239173036 \h </w:instrText>
        </w:r>
        <w:r>
          <w:rPr>
            <w:noProof/>
            <w:webHidden/>
          </w:rPr>
        </w:r>
        <w:r>
          <w:rPr>
            <w:noProof/>
            <w:webHidden/>
          </w:rPr>
          <w:fldChar w:fldCharType="separate"/>
        </w:r>
        <w:r>
          <w:rPr>
            <w:noProof/>
            <w:webHidden/>
          </w:rPr>
          <w:t>3</w:t>
        </w:r>
        <w:r>
          <w:rPr>
            <w:noProof/>
            <w:webHidden/>
          </w:rPr>
          <w:fldChar w:fldCharType="end"/>
        </w:r>
      </w:hyperlink>
    </w:p>
    <w:p w14:paraId="7051F45B" w14:textId="6306CBAE" w:rsidR="00B93805" w:rsidRDefault="00B93805">
      <w:pPr>
        <w:pStyle w:val="TOC1"/>
        <w:tabs>
          <w:tab w:val="right" w:leader="dot" w:pos="10070"/>
        </w:tabs>
        <w:rPr>
          <w:rFonts w:eastAsiaTheme="minorEastAsia" w:cstheme="minorBidi"/>
          <w:b w:val="0"/>
          <w:bCs w:val="0"/>
          <w:caps w:val="0"/>
          <w:noProof/>
          <w:kern w:val="2"/>
          <w:sz w:val="24"/>
          <w:szCs w:val="24"/>
          <w14:ligatures w14:val="standardContextual"/>
        </w:rPr>
      </w:pPr>
      <w:hyperlink w:anchor="_Toc239173037" w:history="1">
        <w:r w:rsidRPr="00CF73D0">
          <w:rPr>
            <w:rStyle w:val="Hyperlink"/>
            <w:noProof/>
          </w:rPr>
          <w:t>Proposed Questions for Global Consultation</w:t>
        </w:r>
        <w:r>
          <w:rPr>
            <w:noProof/>
            <w:webHidden/>
          </w:rPr>
          <w:tab/>
        </w:r>
        <w:r>
          <w:rPr>
            <w:noProof/>
            <w:webHidden/>
          </w:rPr>
          <w:fldChar w:fldCharType="begin"/>
        </w:r>
        <w:r>
          <w:rPr>
            <w:noProof/>
            <w:webHidden/>
          </w:rPr>
          <w:instrText xml:space="preserve"> PAGEREF _Toc239173037 \h </w:instrText>
        </w:r>
        <w:r>
          <w:rPr>
            <w:noProof/>
            <w:webHidden/>
          </w:rPr>
        </w:r>
        <w:r>
          <w:rPr>
            <w:noProof/>
            <w:webHidden/>
          </w:rPr>
          <w:fldChar w:fldCharType="separate"/>
        </w:r>
        <w:r>
          <w:rPr>
            <w:noProof/>
            <w:webHidden/>
          </w:rPr>
          <w:t>5</w:t>
        </w:r>
        <w:r>
          <w:rPr>
            <w:noProof/>
            <w:webHidden/>
          </w:rPr>
          <w:fldChar w:fldCharType="end"/>
        </w:r>
      </w:hyperlink>
    </w:p>
    <w:p w14:paraId="13182FD0" w14:textId="791C5A50" w:rsidR="00B93805" w:rsidRDefault="00B93805">
      <w:pPr>
        <w:pStyle w:val="TOC1"/>
        <w:tabs>
          <w:tab w:val="left" w:pos="480"/>
          <w:tab w:val="right" w:leader="dot" w:pos="10070"/>
        </w:tabs>
        <w:rPr>
          <w:rFonts w:eastAsiaTheme="minorEastAsia" w:cstheme="minorBidi"/>
          <w:b w:val="0"/>
          <w:bCs w:val="0"/>
          <w:caps w:val="0"/>
          <w:noProof/>
          <w:kern w:val="2"/>
          <w:sz w:val="24"/>
          <w:szCs w:val="24"/>
          <w14:ligatures w14:val="standardContextual"/>
        </w:rPr>
      </w:pPr>
      <w:hyperlink w:anchor="_Toc239173038" w:history="1">
        <w:r w:rsidRPr="00CF73D0">
          <w:rPr>
            <w:rStyle w:val="Hyperlink"/>
            <w:noProof/>
          </w:rPr>
          <w:t>1</w:t>
        </w:r>
        <w:r>
          <w:rPr>
            <w:rFonts w:eastAsiaTheme="minorEastAsia" w:cstheme="minorBidi"/>
            <w:b w:val="0"/>
            <w:bCs w:val="0"/>
            <w:caps w:val="0"/>
            <w:noProof/>
            <w:kern w:val="2"/>
            <w:sz w:val="24"/>
            <w:szCs w:val="24"/>
            <w14:ligatures w14:val="standardContextual"/>
          </w:rPr>
          <w:tab/>
        </w:r>
        <w:r w:rsidRPr="00CF73D0">
          <w:rPr>
            <w:rStyle w:val="Hyperlink"/>
            <w:noProof/>
          </w:rPr>
          <w:t>Background to the issue</w:t>
        </w:r>
        <w:r>
          <w:rPr>
            <w:noProof/>
            <w:webHidden/>
          </w:rPr>
          <w:tab/>
        </w:r>
        <w:r>
          <w:rPr>
            <w:noProof/>
            <w:webHidden/>
          </w:rPr>
          <w:fldChar w:fldCharType="begin"/>
        </w:r>
        <w:r>
          <w:rPr>
            <w:noProof/>
            <w:webHidden/>
          </w:rPr>
          <w:instrText xml:space="preserve"> PAGEREF _Toc239173038 \h </w:instrText>
        </w:r>
        <w:r>
          <w:rPr>
            <w:noProof/>
            <w:webHidden/>
          </w:rPr>
        </w:r>
        <w:r>
          <w:rPr>
            <w:noProof/>
            <w:webHidden/>
          </w:rPr>
          <w:fldChar w:fldCharType="separate"/>
        </w:r>
        <w:r>
          <w:rPr>
            <w:noProof/>
            <w:webHidden/>
          </w:rPr>
          <w:t>6</w:t>
        </w:r>
        <w:r>
          <w:rPr>
            <w:noProof/>
            <w:webHidden/>
          </w:rPr>
          <w:fldChar w:fldCharType="end"/>
        </w:r>
      </w:hyperlink>
    </w:p>
    <w:p w14:paraId="21EEEF7E" w14:textId="54147962" w:rsidR="00B93805" w:rsidRDefault="00B93805">
      <w:pPr>
        <w:pStyle w:val="TOC1"/>
        <w:tabs>
          <w:tab w:val="left" w:pos="480"/>
          <w:tab w:val="right" w:leader="dot" w:pos="10070"/>
        </w:tabs>
        <w:rPr>
          <w:rFonts w:eastAsiaTheme="minorEastAsia" w:cstheme="minorBidi"/>
          <w:b w:val="0"/>
          <w:bCs w:val="0"/>
          <w:caps w:val="0"/>
          <w:noProof/>
          <w:kern w:val="2"/>
          <w:sz w:val="24"/>
          <w:szCs w:val="24"/>
          <w14:ligatures w14:val="standardContextual"/>
        </w:rPr>
      </w:pPr>
      <w:hyperlink w:anchor="_Toc239173039" w:history="1">
        <w:r w:rsidRPr="00CF73D0">
          <w:rPr>
            <w:rStyle w:val="Hyperlink"/>
            <w:noProof/>
          </w:rPr>
          <w:t>2</w:t>
        </w:r>
        <w:r>
          <w:rPr>
            <w:rFonts w:eastAsiaTheme="minorEastAsia" w:cstheme="minorBidi"/>
            <w:b w:val="0"/>
            <w:bCs w:val="0"/>
            <w:caps w:val="0"/>
            <w:noProof/>
            <w:kern w:val="2"/>
            <w:sz w:val="24"/>
            <w:szCs w:val="24"/>
            <w14:ligatures w14:val="standardContextual"/>
          </w:rPr>
          <w:tab/>
        </w:r>
        <w:r w:rsidRPr="00CF73D0">
          <w:rPr>
            <w:rStyle w:val="Hyperlink"/>
            <w:noProof/>
          </w:rPr>
          <w:t>Introduction to the carbon stock account</w:t>
        </w:r>
        <w:r>
          <w:rPr>
            <w:noProof/>
            <w:webHidden/>
          </w:rPr>
          <w:tab/>
        </w:r>
        <w:r>
          <w:rPr>
            <w:noProof/>
            <w:webHidden/>
          </w:rPr>
          <w:fldChar w:fldCharType="begin"/>
        </w:r>
        <w:r>
          <w:rPr>
            <w:noProof/>
            <w:webHidden/>
          </w:rPr>
          <w:instrText xml:space="preserve"> PAGEREF _Toc239173039 \h </w:instrText>
        </w:r>
        <w:r>
          <w:rPr>
            <w:noProof/>
            <w:webHidden/>
          </w:rPr>
        </w:r>
        <w:r>
          <w:rPr>
            <w:noProof/>
            <w:webHidden/>
          </w:rPr>
          <w:fldChar w:fldCharType="separate"/>
        </w:r>
        <w:r>
          <w:rPr>
            <w:noProof/>
            <w:webHidden/>
          </w:rPr>
          <w:t>8</w:t>
        </w:r>
        <w:r>
          <w:rPr>
            <w:noProof/>
            <w:webHidden/>
          </w:rPr>
          <w:fldChar w:fldCharType="end"/>
        </w:r>
      </w:hyperlink>
    </w:p>
    <w:p w14:paraId="66667FB3" w14:textId="74B111A4" w:rsidR="00B93805" w:rsidRDefault="00B93805">
      <w:pPr>
        <w:pStyle w:val="TOC2"/>
        <w:tabs>
          <w:tab w:val="left" w:pos="960"/>
          <w:tab w:val="right" w:leader="dot" w:pos="10070"/>
        </w:tabs>
        <w:rPr>
          <w:rFonts w:eastAsiaTheme="minorEastAsia" w:cstheme="minorBidi"/>
          <w:smallCaps w:val="0"/>
          <w:noProof/>
          <w:kern w:val="2"/>
          <w:sz w:val="24"/>
          <w:szCs w:val="24"/>
          <w14:ligatures w14:val="standardContextual"/>
        </w:rPr>
      </w:pPr>
      <w:hyperlink w:anchor="_Toc239173040" w:history="1">
        <w:r w:rsidRPr="00CF73D0">
          <w:rPr>
            <w:rStyle w:val="Hyperlink"/>
            <w:noProof/>
          </w:rPr>
          <w:t>2.1</w:t>
        </w:r>
        <w:r>
          <w:rPr>
            <w:rFonts w:eastAsiaTheme="minorEastAsia" w:cstheme="minorBidi"/>
            <w:smallCaps w:val="0"/>
            <w:noProof/>
            <w:kern w:val="2"/>
            <w:sz w:val="24"/>
            <w:szCs w:val="24"/>
            <w14:ligatures w14:val="standardContextual"/>
          </w:rPr>
          <w:tab/>
        </w:r>
        <w:r w:rsidRPr="00CF73D0">
          <w:rPr>
            <w:rStyle w:val="Hyperlink"/>
            <w:noProof/>
          </w:rPr>
          <w:t>General framing of a carbon stock account</w:t>
        </w:r>
        <w:r>
          <w:rPr>
            <w:noProof/>
            <w:webHidden/>
          </w:rPr>
          <w:tab/>
        </w:r>
        <w:r>
          <w:rPr>
            <w:noProof/>
            <w:webHidden/>
          </w:rPr>
          <w:fldChar w:fldCharType="begin"/>
        </w:r>
        <w:r>
          <w:rPr>
            <w:noProof/>
            <w:webHidden/>
          </w:rPr>
          <w:instrText xml:space="preserve"> PAGEREF _Toc239173040 \h </w:instrText>
        </w:r>
        <w:r>
          <w:rPr>
            <w:noProof/>
            <w:webHidden/>
          </w:rPr>
        </w:r>
        <w:r>
          <w:rPr>
            <w:noProof/>
            <w:webHidden/>
          </w:rPr>
          <w:fldChar w:fldCharType="separate"/>
        </w:r>
        <w:r>
          <w:rPr>
            <w:noProof/>
            <w:webHidden/>
          </w:rPr>
          <w:t>8</w:t>
        </w:r>
        <w:r>
          <w:rPr>
            <w:noProof/>
            <w:webHidden/>
          </w:rPr>
          <w:fldChar w:fldCharType="end"/>
        </w:r>
      </w:hyperlink>
    </w:p>
    <w:p w14:paraId="053DE872" w14:textId="10370CDD" w:rsidR="00B93805" w:rsidRDefault="00B93805">
      <w:pPr>
        <w:pStyle w:val="TOC2"/>
        <w:tabs>
          <w:tab w:val="left" w:pos="960"/>
          <w:tab w:val="right" w:leader="dot" w:pos="10070"/>
        </w:tabs>
        <w:rPr>
          <w:rFonts w:eastAsiaTheme="minorEastAsia" w:cstheme="minorBidi"/>
          <w:smallCaps w:val="0"/>
          <w:noProof/>
          <w:kern w:val="2"/>
          <w:sz w:val="24"/>
          <w:szCs w:val="24"/>
          <w14:ligatures w14:val="standardContextual"/>
        </w:rPr>
      </w:pPr>
      <w:hyperlink w:anchor="_Toc239173041" w:history="1">
        <w:r w:rsidRPr="00CF73D0">
          <w:rPr>
            <w:rStyle w:val="Hyperlink"/>
            <w:noProof/>
          </w:rPr>
          <w:t>2.2</w:t>
        </w:r>
        <w:r>
          <w:rPr>
            <w:rFonts w:eastAsiaTheme="minorEastAsia" w:cstheme="minorBidi"/>
            <w:smallCaps w:val="0"/>
            <w:noProof/>
            <w:kern w:val="2"/>
            <w:sz w:val="24"/>
            <w:szCs w:val="24"/>
            <w14:ligatures w14:val="standardContextual"/>
          </w:rPr>
          <w:tab/>
        </w:r>
        <w:r w:rsidRPr="00CF73D0">
          <w:rPr>
            <w:rStyle w:val="Hyperlink"/>
            <w:noProof/>
          </w:rPr>
          <w:t>Applications and uses of data from carbon stock accounts</w:t>
        </w:r>
        <w:r>
          <w:rPr>
            <w:noProof/>
            <w:webHidden/>
          </w:rPr>
          <w:tab/>
        </w:r>
        <w:r>
          <w:rPr>
            <w:noProof/>
            <w:webHidden/>
          </w:rPr>
          <w:fldChar w:fldCharType="begin"/>
        </w:r>
        <w:r>
          <w:rPr>
            <w:noProof/>
            <w:webHidden/>
          </w:rPr>
          <w:instrText xml:space="preserve"> PAGEREF _Toc239173041 \h </w:instrText>
        </w:r>
        <w:r>
          <w:rPr>
            <w:noProof/>
            <w:webHidden/>
          </w:rPr>
        </w:r>
        <w:r>
          <w:rPr>
            <w:noProof/>
            <w:webHidden/>
          </w:rPr>
          <w:fldChar w:fldCharType="separate"/>
        </w:r>
        <w:r>
          <w:rPr>
            <w:noProof/>
            <w:webHidden/>
          </w:rPr>
          <w:t>9</w:t>
        </w:r>
        <w:r>
          <w:rPr>
            <w:noProof/>
            <w:webHidden/>
          </w:rPr>
          <w:fldChar w:fldCharType="end"/>
        </w:r>
      </w:hyperlink>
    </w:p>
    <w:p w14:paraId="330B1EE7" w14:textId="1903995F" w:rsidR="00B93805" w:rsidRDefault="00B93805">
      <w:pPr>
        <w:pStyle w:val="TOC1"/>
        <w:tabs>
          <w:tab w:val="left" w:pos="480"/>
          <w:tab w:val="right" w:leader="dot" w:pos="10070"/>
        </w:tabs>
        <w:rPr>
          <w:rFonts w:eastAsiaTheme="minorEastAsia" w:cstheme="minorBidi"/>
          <w:b w:val="0"/>
          <w:bCs w:val="0"/>
          <w:caps w:val="0"/>
          <w:noProof/>
          <w:kern w:val="2"/>
          <w:sz w:val="24"/>
          <w:szCs w:val="24"/>
          <w14:ligatures w14:val="standardContextual"/>
        </w:rPr>
      </w:pPr>
      <w:hyperlink w:anchor="_Toc239173042" w:history="1">
        <w:r w:rsidRPr="00CF73D0">
          <w:rPr>
            <w:rStyle w:val="Hyperlink"/>
            <w:noProof/>
            <w:lang w:val="en-GB"/>
          </w:rPr>
          <w:t>3</w:t>
        </w:r>
        <w:r>
          <w:rPr>
            <w:rFonts w:eastAsiaTheme="minorEastAsia" w:cstheme="minorBidi"/>
            <w:b w:val="0"/>
            <w:bCs w:val="0"/>
            <w:caps w:val="0"/>
            <w:noProof/>
            <w:kern w:val="2"/>
            <w:sz w:val="24"/>
            <w:szCs w:val="24"/>
            <w14:ligatures w14:val="standardContextual"/>
          </w:rPr>
          <w:tab/>
        </w:r>
        <w:r w:rsidRPr="00CF73D0">
          <w:rPr>
            <w:rStyle w:val="Hyperlink"/>
            <w:noProof/>
            <w:lang w:val="en-GB"/>
          </w:rPr>
          <w:t>Including carbon stock accounts in the SEEA CF</w:t>
        </w:r>
        <w:r>
          <w:rPr>
            <w:noProof/>
            <w:webHidden/>
          </w:rPr>
          <w:tab/>
        </w:r>
        <w:r>
          <w:rPr>
            <w:noProof/>
            <w:webHidden/>
          </w:rPr>
          <w:fldChar w:fldCharType="begin"/>
        </w:r>
        <w:r>
          <w:rPr>
            <w:noProof/>
            <w:webHidden/>
          </w:rPr>
          <w:instrText xml:space="preserve"> PAGEREF _Toc239173042 \h </w:instrText>
        </w:r>
        <w:r>
          <w:rPr>
            <w:noProof/>
            <w:webHidden/>
          </w:rPr>
        </w:r>
        <w:r>
          <w:rPr>
            <w:noProof/>
            <w:webHidden/>
          </w:rPr>
          <w:fldChar w:fldCharType="separate"/>
        </w:r>
        <w:r>
          <w:rPr>
            <w:noProof/>
            <w:webHidden/>
          </w:rPr>
          <w:t>10</w:t>
        </w:r>
        <w:r>
          <w:rPr>
            <w:noProof/>
            <w:webHidden/>
          </w:rPr>
          <w:fldChar w:fldCharType="end"/>
        </w:r>
      </w:hyperlink>
    </w:p>
    <w:p w14:paraId="4CAD5451" w14:textId="670F8624" w:rsidR="00B93805" w:rsidRDefault="00B93805">
      <w:pPr>
        <w:pStyle w:val="TOC1"/>
        <w:tabs>
          <w:tab w:val="left" w:pos="480"/>
          <w:tab w:val="right" w:leader="dot" w:pos="10070"/>
        </w:tabs>
        <w:rPr>
          <w:rFonts w:eastAsiaTheme="minorEastAsia" w:cstheme="minorBidi"/>
          <w:b w:val="0"/>
          <w:bCs w:val="0"/>
          <w:caps w:val="0"/>
          <w:noProof/>
          <w:kern w:val="2"/>
          <w:sz w:val="24"/>
          <w:szCs w:val="24"/>
          <w14:ligatures w14:val="standardContextual"/>
        </w:rPr>
      </w:pPr>
      <w:hyperlink w:anchor="_Toc239173043" w:history="1">
        <w:r w:rsidRPr="00CF73D0">
          <w:rPr>
            <w:rStyle w:val="Hyperlink"/>
            <w:noProof/>
            <w:lang w:val="en-GB"/>
          </w:rPr>
          <w:t>4</w:t>
        </w:r>
        <w:r>
          <w:rPr>
            <w:rFonts w:eastAsiaTheme="minorEastAsia" w:cstheme="minorBidi"/>
            <w:b w:val="0"/>
            <w:bCs w:val="0"/>
            <w:caps w:val="0"/>
            <w:noProof/>
            <w:kern w:val="2"/>
            <w:sz w:val="24"/>
            <w:szCs w:val="24"/>
            <w14:ligatures w14:val="standardContextual"/>
          </w:rPr>
          <w:tab/>
        </w:r>
        <w:r w:rsidRPr="00CF73D0">
          <w:rPr>
            <w:rStyle w:val="Hyperlink"/>
            <w:noProof/>
            <w:lang w:val="en-GB"/>
          </w:rPr>
          <w:t>Conceptual issues on the treatment of carbon stocks</w:t>
        </w:r>
        <w:r>
          <w:rPr>
            <w:noProof/>
            <w:webHidden/>
          </w:rPr>
          <w:tab/>
        </w:r>
        <w:r>
          <w:rPr>
            <w:noProof/>
            <w:webHidden/>
          </w:rPr>
          <w:fldChar w:fldCharType="begin"/>
        </w:r>
        <w:r>
          <w:rPr>
            <w:noProof/>
            <w:webHidden/>
          </w:rPr>
          <w:instrText xml:space="preserve"> PAGEREF _Toc239173043 \h </w:instrText>
        </w:r>
        <w:r>
          <w:rPr>
            <w:noProof/>
            <w:webHidden/>
          </w:rPr>
        </w:r>
        <w:r>
          <w:rPr>
            <w:noProof/>
            <w:webHidden/>
          </w:rPr>
          <w:fldChar w:fldCharType="separate"/>
        </w:r>
        <w:r>
          <w:rPr>
            <w:noProof/>
            <w:webHidden/>
          </w:rPr>
          <w:t>14</w:t>
        </w:r>
        <w:r>
          <w:rPr>
            <w:noProof/>
            <w:webHidden/>
          </w:rPr>
          <w:fldChar w:fldCharType="end"/>
        </w:r>
      </w:hyperlink>
    </w:p>
    <w:p w14:paraId="30887D72" w14:textId="01FA5B59" w:rsidR="00B93805" w:rsidRDefault="00B93805">
      <w:pPr>
        <w:pStyle w:val="TOC2"/>
        <w:tabs>
          <w:tab w:val="left" w:pos="960"/>
          <w:tab w:val="right" w:leader="dot" w:pos="10070"/>
        </w:tabs>
        <w:rPr>
          <w:rFonts w:eastAsiaTheme="minorEastAsia" w:cstheme="minorBidi"/>
          <w:smallCaps w:val="0"/>
          <w:noProof/>
          <w:kern w:val="2"/>
          <w:sz w:val="24"/>
          <w:szCs w:val="24"/>
          <w14:ligatures w14:val="standardContextual"/>
        </w:rPr>
      </w:pPr>
      <w:hyperlink w:anchor="_Toc239173044" w:history="1">
        <w:r w:rsidRPr="00CF73D0">
          <w:rPr>
            <w:rStyle w:val="Hyperlink"/>
            <w:noProof/>
            <w:lang w:val="en-GB"/>
          </w:rPr>
          <w:t>4.1</w:t>
        </w:r>
        <w:r>
          <w:rPr>
            <w:rFonts w:eastAsiaTheme="minorEastAsia" w:cstheme="minorBidi"/>
            <w:smallCaps w:val="0"/>
            <w:noProof/>
            <w:kern w:val="2"/>
            <w:sz w:val="24"/>
            <w:szCs w:val="24"/>
            <w14:ligatures w14:val="standardContextual"/>
          </w:rPr>
          <w:tab/>
        </w:r>
        <w:r w:rsidRPr="00CF73D0">
          <w:rPr>
            <w:rStyle w:val="Hyperlink"/>
            <w:noProof/>
            <w:lang w:val="en-GB"/>
          </w:rPr>
          <w:t>Carbon stocks as environmental assets</w:t>
        </w:r>
        <w:r>
          <w:rPr>
            <w:noProof/>
            <w:webHidden/>
          </w:rPr>
          <w:tab/>
        </w:r>
        <w:r>
          <w:rPr>
            <w:noProof/>
            <w:webHidden/>
          </w:rPr>
          <w:fldChar w:fldCharType="begin"/>
        </w:r>
        <w:r>
          <w:rPr>
            <w:noProof/>
            <w:webHidden/>
          </w:rPr>
          <w:instrText xml:space="preserve"> PAGEREF _Toc239173044 \h </w:instrText>
        </w:r>
        <w:r>
          <w:rPr>
            <w:noProof/>
            <w:webHidden/>
          </w:rPr>
        </w:r>
        <w:r>
          <w:rPr>
            <w:noProof/>
            <w:webHidden/>
          </w:rPr>
          <w:fldChar w:fldCharType="separate"/>
        </w:r>
        <w:r>
          <w:rPr>
            <w:noProof/>
            <w:webHidden/>
          </w:rPr>
          <w:t>14</w:t>
        </w:r>
        <w:r>
          <w:rPr>
            <w:noProof/>
            <w:webHidden/>
          </w:rPr>
          <w:fldChar w:fldCharType="end"/>
        </w:r>
      </w:hyperlink>
    </w:p>
    <w:p w14:paraId="7F4145F8" w14:textId="1852F367" w:rsidR="00B93805" w:rsidRDefault="00B93805">
      <w:pPr>
        <w:pStyle w:val="TOC2"/>
        <w:tabs>
          <w:tab w:val="left" w:pos="960"/>
          <w:tab w:val="right" w:leader="dot" w:pos="10070"/>
        </w:tabs>
        <w:rPr>
          <w:rFonts w:eastAsiaTheme="minorEastAsia" w:cstheme="minorBidi"/>
          <w:smallCaps w:val="0"/>
          <w:noProof/>
          <w:kern w:val="2"/>
          <w:sz w:val="24"/>
          <w:szCs w:val="24"/>
          <w14:ligatures w14:val="standardContextual"/>
        </w:rPr>
      </w:pPr>
      <w:hyperlink w:anchor="_Toc239173045" w:history="1">
        <w:r w:rsidRPr="00CF73D0">
          <w:rPr>
            <w:rStyle w:val="Hyperlink"/>
            <w:noProof/>
            <w:lang w:val="en-GB"/>
          </w:rPr>
          <w:t>4.2</w:t>
        </w:r>
        <w:r>
          <w:rPr>
            <w:rFonts w:eastAsiaTheme="minorEastAsia" w:cstheme="minorBidi"/>
            <w:smallCaps w:val="0"/>
            <w:noProof/>
            <w:kern w:val="2"/>
            <w:sz w:val="24"/>
            <w:szCs w:val="24"/>
            <w14:ligatures w14:val="standardContextual"/>
          </w:rPr>
          <w:tab/>
        </w:r>
        <w:r w:rsidRPr="00CF73D0">
          <w:rPr>
            <w:rStyle w:val="Hyperlink"/>
            <w:noProof/>
            <w:lang w:val="en-GB"/>
          </w:rPr>
          <w:t>The monetary value of carbon stocks</w:t>
        </w:r>
        <w:r>
          <w:rPr>
            <w:noProof/>
            <w:webHidden/>
          </w:rPr>
          <w:tab/>
        </w:r>
        <w:r>
          <w:rPr>
            <w:noProof/>
            <w:webHidden/>
          </w:rPr>
          <w:fldChar w:fldCharType="begin"/>
        </w:r>
        <w:r>
          <w:rPr>
            <w:noProof/>
            <w:webHidden/>
          </w:rPr>
          <w:instrText xml:space="preserve"> PAGEREF _Toc239173045 \h </w:instrText>
        </w:r>
        <w:r>
          <w:rPr>
            <w:noProof/>
            <w:webHidden/>
          </w:rPr>
        </w:r>
        <w:r>
          <w:rPr>
            <w:noProof/>
            <w:webHidden/>
          </w:rPr>
          <w:fldChar w:fldCharType="separate"/>
        </w:r>
        <w:r>
          <w:rPr>
            <w:noProof/>
            <w:webHidden/>
          </w:rPr>
          <w:t>16</w:t>
        </w:r>
        <w:r>
          <w:rPr>
            <w:noProof/>
            <w:webHidden/>
          </w:rPr>
          <w:fldChar w:fldCharType="end"/>
        </w:r>
      </w:hyperlink>
    </w:p>
    <w:p w14:paraId="062626D8" w14:textId="46FAF0D8" w:rsidR="00B93805" w:rsidRDefault="00B93805">
      <w:pPr>
        <w:pStyle w:val="TOC1"/>
        <w:tabs>
          <w:tab w:val="left" w:pos="480"/>
          <w:tab w:val="right" w:leader="dot" w:pos="10070"/>
        </w:tabs>
        <w:rPr>
          <w:rFonts w:eastAsiaTheme="minorEastAsia" w:cstheme="minorBidi"/>
          <w:b w:val="0"/>
          <w:bCs w:val="0"/>
          <w:caps w:val="0"/>
          <w:noProof/>
          <w:kern w:val="2"/>
          <w:sz w:val="24"/>
          <w:szCs w:val="24"/>
          <w14:ligatures w14:val="standardContextual"/>
        </w:rPr>
      </w:pPr>
      <w:hyperlink w:anchor="_Toc239173046" w:history="1">
        <w:r w:rsidRPr="00CF73D0">
          <w:rPr>
            <w:rStyle w:val="Hyperlink"/>
            <w:noProof/>
          </w:rPr>
          <w:t>5</w:t>
        </w:r>
        <w:r>
          <w:rPr>
            <w:rFonts w:eastAsiaTheme="minorEastAsia" w:cstheme="minorBidi"/>
            <w:b w:val="0"/>
            <w:bCs w:val="0"/>
            <w:caps w:val="0"/>
            <w:noProof/>
            <w:kern w:val="2"/>
            <w:sz w:val="24"/>
            <w:szCs w:val="24"/>
            <w14:ligatures w14:val="standardContextual"/>
          </w:rPr>
          <w:tab/>
        </w:r>
        <w:r w:rsidRPr="00CF73D0">
          <w:rPr>
            <w:rStyle w:val="Hyperlink"/>
            <w:noProof/>
          </w:rPr>
          <w:t>Measurement boundaries and accounting treatments for carbon stock accounts</w:t>
        </w:r>
        <w:r>
          <w:rPr>
            <w:noProof/>
            <w:webHidden/>
          </w:rPr>
          <w:tab/>
        </w:r>
        <w:r>
          <w:rPr>
            <w:noProof/>
            <w:webHidden/>
          </w:rPr>
          <w:fldChar w:fldCharType="begin"/>
        </w:r>
        <w:r>
          <w:rPr>
            <w:noProof/>
            <w:webHidden/>
          </w:rPr>
          <w:instrText xml:space="preserve"> PAGEREF _Toc239173046 \h </w:instrText>
        </w:r>
        <w:r>
          <w:rPr>
            <w:noProof/>
            <w:webHidden/>
          </w:rPr>
        </w:r>
        <w:r>
          <w:rPr>
            <w:noProof/>
            <w:webHidden/>
          </w:rPr>
          <w:fldChar w:fldCharType="separate"/>
        </w:r>
        <w:r>
          <w:rPr>
            <w:noProof/>
            <w:webHidden/>
          </w:rPr>
          <w:t>18</w:t>
        </w:r>
        <w:r>
          <w:rPr>
            <w:noProof/>
            <w:webHidden/>
          </w:rPr>
          <w:fldChar w:fldCharType="end"/>
        </w:r>
      </w:hyperlink>
    </w:p>
    <w:p w14:paraId="00ACE797" w14:textId="3E48F92A" w:rsidR="00B93805" w:rsidRDefault="00B93805">
      <w:pPr>
        <w:pStyle w:val="TOC2"/>
        <w:tabs>
          <w:tab w:val="left" w:pos="960"/>
          <w:tab w:val="right" w:leader="dot" w:pos="10070"/>
        </w:tabs>
        <w:rPr>
          <w:rFonts w:eastAsiaTheme="minorEastAsia" w:cstheme="minorBidi"/>
          <w:smallCaps w:val="0"/>
          <w:noProof/>
          <w:kern w:val="2"/>
          <w:sz w:val="24"/>
          <w:szCs w:val="24"/>
          <w14:ligatures w14:val="standardContextual"/>
        </w:rPr>
      </w:pPr>
      <w:hyperlink w:anchor="_Toc239173047" w:history="1">
        <w:r w:rsidRPr="00CF73D0">
          <w:rPr>
            <w:rStyle w:val="Hyperlink"/>
            <w:noProof/>
            <w:lang w:val="en-GB"/>
          </w:rPr>
          <w:t>5.1</w:t>
        </w:r>
        <w:r>
          <w:rPr>
            <w:rFonts w:eastAsiaTheme="minorEastAsia" w:cstheme="minorBidi"/>
            <w:smallCaps w:val="0"/>
            <w:noProof/>
            <w:kern w:val="2"/>
            <w:sz w:val="24"/>
            <w:szCs w:val="24"/>
            <w14:ligatures w14:val="standardContextual"/>
          </w:rPr>
          <w:tab/>
        </w:r>
        <w:r w:rsidRPr="00CF73D0">
          <w:rPr>
            <w:rStyle w:val="Hyperlink"/>
            <w:noProof/>
          </w:rPr>
          <w:t>Introduction</w:t>
        </w:r>
        <w:r>
          <w:rPr>
            <w:noProof/>
            <w:webHidden/>
          </w:rPr>
          <w:tab/>
        </w:r>
        <w:r>
          <w:rPr>
            <w:noProof/>
            <w:webHidden/>
          </w:rPr>
          <w:fldChar w:fldCharType="begin"/>
        </w:r>
        <w:r>
          <w:rPr>
            <w:noProof/>
            <w:webHidden/>
          </w:rPr>
          <w:instrText xml:space="preserve"> PAGEREF _Toc239173047 \h </w:instrText>
        </w:r>
        <w:r>
          <w:rPr>
            <w:noProof/>
            <w:webHidden/>
          </w:rPr>
        </w:r>
        <w:r>
          <w:rPr>
            <w:noProof/>
            <w:webHidden/>
          </w:rPr>
          <w:fldChar w:fldCharType="separate"/>
        </w:r>
        <w:r>
          <w:rPr>
            <w:noProof/>
            <w:webHidden/>
          </w:rPr>
          <w:t>18</w:t>
        </w:r>
        <w:r>
          <w:rPr>
            <w:noProof/>
            <w:webHidden/>
          </w:rPr>
          <w:fldChar w:fldCharType="end"/>
        </w:r>
      </w:hyperlink>
    </w:p>
    <w:p w14:paraId="043D4B66" w14:textId="5852AF5B" w:rsidR="00B93805" w:rsidRDefault="00B93805">
      <w:pPr>
        <w:pStyle w:val="TOC2"/>
        <w:tabs>
          <w:tab w:val="left" w:pos="960"/>
          <w:tab w:val="right" w:leader="dot" w:pos="10070"/>
        </w:tabs>
        <w:rPr>
          <w:rFonts w:eastAsiaTheme="minorEastAsia" w:cstheme="minorBidi"/>
          <w:smallCaps w:val="0"/>
          <w:noProof/>
          <w:kern w:val="2"/>
          <w:sz w:val="24"/>
          <w:szCs w:val="24"/>
          <w14:ligatures w14:val="standardContextual"/>
        </w:rPr>
      </w:pPr>
      <w:hyperlink w:anchor="_Toc239173048" w:history="1">
        <w:r w:rsidRPr="00CF73D0">
          <w:rPr>
            <w:rStyle w:val="Hyperlink"/>
            <w:noProof/>
            <w:lang w:val="en-GB"/>
          </w:rPr>
          <w:t>5.2</w:t>
        </w:r>
        <w:r>
          <w:rPr>
            <w:rFonts w:eastAsiaTheme="minorEastAsia" w:cstheme="minorBidi"/>
            <w:smallCaps w:val="0"/>
            <w:noProof/>
            <w:kern w:val="2"/>
            <w:sz w:val="24"/>
            <w:szCs w:val="24"/>
            <w14:ligatures w14:val="standardContextual"/>
          </w:rPr>
          <w:tab/>
        </w:r>
        <w:r w:rsidRPr="00CF73D0">
          <w:rPr>
            <w:rStyle w:val="Hyperlink"/>
            <w:noProof/>
            <w:lang w:val="en-GB"/>
          </w:rPr>
          <w:t>Measuring carbon in the economy</w:t>
        </w:r>
        <w:r>
          <w:rPr>
            <w:noProof/>
            <w:webHidden/>
          </w:rPr>
          <w:tab/>
        </w:r>
        <w:r>
          <w:rPr>
            <w:noProof/>
            <w:webHidden/>
          </w:rPr>
          <w:fldChar w:fldCharType="begin"/>
        </w:r>
        <w:r>
          <w:rPr>
            <w:noProof/>
            <w:webHidden/>
          </w:rPr>
          <w:instrText xml:space="preserve"> PAGEREF _Toc239173048 \h </w:instrText>
        </w:r>
        <w:r>
          <w:rPr>
            <w:noProof/>
            <w:webHidden/>
          </w:rPr>
        </w:r>
        <w:r>
          <w:rPr>
            <w:noProof/>
            <w:webHidden/>
          </w:rPr>
          <w:fldChar w:fldCharType="separate"/>
        </w:r>
        <w:r>
          <w:rPr>
            <w:noProof/>
            <w:webHidden/>
          </w:rPr>
          <w:t>21</w:t>
        </w:r>
        <w:r>
          <w:rPr>
            <w:noProof/>
            <w:webHidden/>
          </w:rPr>
          <w:fldChar w:fldCharType="end"/>
        </w:r>
      </w:hyperlink>
    </w:p>
    <w:p w14:paraId="3E823CBB" w14:textId="569CC481" w:rsidR="00B93805" w:rsidRDefault="00B93805">
      <w:pPr>
        <w:pStyle w:val="TOC2"/>
        <w:tabs>
          <w:tab w:val="left" w:pos="960"/>
          <w:tab w:val="right" w:leader="dot" w:pos="10070"/>
        </w:tabs>
        <w:rPr>
          <w:rFonts w:eastAsiaTheme="minorEastAsia" w:cstheme="minorBidi"/>
          <w:smallCaps w:val="0"/>
          <w:noProof/>
          <w:kern w:val="2"/>
          <w:sz w:val="24"/>
          <w:szCs w:val="24"/>
          <w14:ligatures w14:val="standardContextual"/>
        </w:rPr>
      </w:pPr>
      <w:hyperlink w:anchor="_Toc239173049" w:history="1">
        <w:r w:rsidRPr="00CF73D0">
          <w:rPr>
            <w:rStyle w:val="Hyperlink"/>
            <w:noProof/>
          </w:rPr>
          <w:t>5.3</w:t>
        </w:r>
        <w:r>
          <w:rPr>
            <w:rFonts w:eastAsiaTheme="minorEastAsia" w:cstheme="minorBidi"/>
            <w:smallCaps w:val="0"/>
            <w:noProof/>
            <w:kern w:val="2"/>
            <w:sz w:val="24"/>
            <w:szCs w:val="24"/>
            <w14:ligatures w14:val="standardContextual"/>
          </w:rPr>
          <w:tab/>
        </w:r>
        <w:r w:rsidRPr="00CF73D0">
          <w:rPr>
            <w:rStyle w:val="Hyperlink"/>
            <w:noProof/>
          </w:rPr>
          <w:t>Proposed structure for a carbon stock account in physical terms</w:t>
        </w:r>
        <w:r>
          <w:rPr>
            <w:noProof/>
            <w:webHidden/>
          </w:rPr>
          <w:tab/>
        </w:r>
        <w:r>
          <w:rPr>
            <w:noProof/>
            <w:webHidden/>
          </w:rPr>
          <w:fldChar w:fldCharType="begin"/>
        </w:r>
        <w:r>
          <w:rPr>
            <w:noProof/>
            <w:webHidden/>
          </w:rPr>
          <w:instrText xml:space="preserve"> PAGEREF _Toc239173049 \h </w:instrText>
        </w:r>
        <w:r>
          <w:rPr>
            <w:noProof/>
            <w:webHidden/>
          </w:rPr>
        </w:r>
        <w:r>
          <w:rPr>
            <w:noProof/>
            <w:webHidden/>
          </w:rPr>
          <w:fldChar w:fldCharType="separate"/>
        </w:r>
        <w:r>
          <w:rPr>
            <w:noProof/>
            <w:webHidden/>
          </w:rPr>
          <w:t>25</w:t>
        </w:r>
        <w:r>
          <w:rPr>
            <w:noProof/>
            <w:webHidden/>
          </w:rPr>
          <w:fldChar w:fldCharType="end"/>
        </w:r>
      </w:hyperlink>
    </w:p>
    <w:p w14:paraId="2560AB83" w14:textId="35AD2E1E" w:rsidR="00B93805" w:rsidRDefault="00B93805">
      <w:pPr>
        <w:pStyle w:val="TOC1"/>
        <w:tabs>
          <w:tab w:val="left" w:pos="480"/>
          <w:tab w:val="right" w:leader="dot" w:pos="10070"/>
        </w:tabs>
        <w:rPr>
          <w:rFonts w:eastAsiaTheme="minorEastAsia" w:cstheme="minorBidi"/>
          <w:b w:val="0"/>
          <w:bCs w:val="0"/>
          <w:caps w:val="0"/>
          <w:noProof/>
          <w:kern w:val="2"/>
          <w:sz w:val="24"/>
          <w:szCs w:val="24"/>
          <w14:ligatures w14:val="standardContextual"/>
        </w:rPr>
      </w:pPr>
      <w:hyperlink w:anchor="_Toc239173050" w:history="1">
        <w:r w:rsidRPr="00CF73D0">
          <w:rPr>
            <w:rStyle w:val="Hyperlink"/>
            <w:noProof/>
          </w:rPr>
          <w:t>6</w:t>
        </w:r>
        <w:r>
          <w:rPr>
            <w:rFonts w:eastAsiaTheme="minorEastAsia" w:cstheme="minorBidi"/>
            <w:b w:val="0"/>
            <w:bCs w:val="0"/>
            <w:caps w:val="0"/>
            <w:noProof/>
            <w:kern w:val="2"/>
            <w:sz w:val="24"/>
            <w:szCs w:val="24"/>
            <w14:ligatures w14:val="standardContextual"/>
          </w:rPr>
          <w:tab/>
        </w:r>
        <w:r w:rsidRPr="00CF73D0">
          <w:rPr>
            <w:rStyle w:val="Hyperlink"/>
            <w:noProof/>
          </w:rPr>
          <w:t>Connections to other SEEA accounts</w:t>
        </w:r>
        <w:r>
          <w:rPr>
            <w:noProof/>
            <w:webHidden/>
          </w:rPr>
          <w:tab/>
        </w:r>
        <w:r>
          <w:rPr>
            <w:noProof/>
            <w:webHidden/>
          </w:rPr>
          <w:fldChar w:fldCharType="begin"/>
        </w:r>
        <w:r>
          <w:rPr>
            <w:noProof/>
            <w:webHidden/>
          </w:rPr>
          <w:instrText xml:space="preserve"> PAGEREF _Toc239173050 \h </w:instrText>
        </w:r>
        <w:r>
          <w:rPr>
            <w:noProof/>
            <w:webHidden/>
          </w:rPr>
        </w:r>
        <w:r>
          <w:rPr>
            <w:noProof/>
            <w:webHidden/>
          </w:rPr>
          <w:fldChar w:fldCharType="separate"/>
        </w:r>
        <w:r>
          <w:rPr>
            <w:noProof/>
            <w:webHidden/>
          </w:rPr>
          <w:t>28</w:t>
        </w:r>
        <w:r>
          <w:rPr>
            <w:noProof/>
            <w:webHidden/>
          </w:rPr>
          <w:fldChar w:fldCharType="end"/>
        </w:r>
      </w:hyperlink>
    </w:p>
    <w:p w14:paraId="08A08D18" w14:textId="52A0DAEC" w:rsidR="00B93805" w:rsidRDefault="00B93805">
      <w:pPr>
        <w:pStyle w:val="TOC1"/>
        <w:tabs>
          <w:tab w:val="left" w:pos="480"/>
          <w:tab w:val="right" w:leader="dot" w:pos="10070"/>
        </w:tabs>
        <w:rPr>
          <w:rFonts w:eastAsiaTheme="minorEastAsia" w:cstheme="minorBidi"/>
          <w:b w:val="0"/>
          <w:bCs w:val="0"/>
          <w:caps w:val="0"/>
          <w:noProof/>
          <w:kern w:val="2"/>
          <w:sz w:val="24"/>
          <w:szCs w:val="24"/>
          <w14:ligatures w14:val="standardContextual"/>
        </w:rPr>
      </w:pPr>
      <w:hyperlink w:anchor="_Toc239173051" w:history="1">
        <w:r w:rsidRPr="00CF73D0">
          <w:rPr>
            <w:rStyle w:val="Hyperlink"/>
            <w:noProof/>
          </w:rPr>
          <w:t>7</w:t>
        </w:r>
        <w:r>
          <w:rPr>
            <w:rFonts w:eastAsiaTheme="minorEastAsia" w:cstheme="minorBidi"/>
            <w:b w:val="0"/>
            <w:bCs w:val="0"/>
            <w:caps w:val="0"/>
            <w:noProof/>
            <w:kern w:val="2"/>
            <w:sz w:val="24"/>
            <w:szCs w:val="24"/>
            <w14:ligatures w14:val="standardContextual"/>
          </w:rPr>
          <w:tab/>
        </w:r>
        <w:r w:rsidRPr="00CF73D0">
          <w:rPr>
            <w:rStyle w:val="Hyperlink"/>
            <w:noProof/>
          </w:rPr>
          <w:t>Connections to UNFCCC reporting &lt;&lt;NB: To be further developed.&gt;&gt;</w:t>
        </w:r>
        <w:r>
          <w:rPr>
            <w:noProof/>
            <w:webHidden/>
          </w:rPr>
          <w:tab/>
        </w:r>
        <w:r>
          <w:rPr>
            <w:noProof/>
            <w:webHidden/>
          </w:rPr>
          <w:fldChar w:fldCharType="begin"/>
        </w:r>
        <w:r>
          <w:rPr>
            <w:noProof/>
            <w:webHidden/>
          </w:rPr>
          <w:instrText xml:space="preserve"> PAGEREF _Toc239173051 \h </w:instrText>
        </w:r>
        <w:r>
          <w:rPr>
            <w:noProof/>
            <w:webHidden/>
          </w:rPr>
        </w:r>
        <w:r>
          <w:rPr>
            <w:noProof/>
            <w:webHidden/>
          </w:rPr>
          <w:fldChar w:fldCharType="separate"/>
        </w:r>
        <w:r>
          <w:rPr>
            <w:noProof/>
            <w:webHidden/>
          </w:rPr>
          <w:t>29</w:t>
        </w:r>
        <w:r>
          <w:rPr>
            <w:noProof/>
            <w:webHidden/>
          </w:rPr>
          <w:fldChar w:fldCharType="end"/>
        </w:r>
      </w:hyperlink>
    </w:p>
    <w:p w14:paraId="125196A8" w14:textId="6B643A31" w:rsidR="00B93805" w:rsidRDefault="00B93805">
      <w:pPr>
        <w:pStyle w:val="TOC1"/>
        <w:tabs>
          <w:tab w:val="right" w:leader="dot" w:pos="10070"/>
        </w:tabs>
        <w:rPr>
          <w:rFonts w:eastAsiaTheme="minorEastAsia" w:cstheme="minorBidi"/>
          <w:b w:val="0"/>
          <w:bCs w:val="0"/>
          <w:caps w:val="0"/>
          <w:noProof/>
          <w:kern w:val="2"/>
          <w:sz w:val="24"/>
          <w:szCs w:val="24"/>
          <w14:ligatures w14:val="standardContextual"/>
        </w:rPr>
      </w:pPr>
      <w:hyperlink w:anchor="_Toc239173052" w:history="1">
        <w:r w:rsidRPr="00CF73D0">
          <w:rPr>
            <w:rStyle w:val="Hyperlink"/>
            <w:noProof/>
          </w:rPr>
          <w:t>Annex 1:  SEEA Ecosystem Accounting Carbon stock account content</w:t>
        </w:r>
        <w:r>
          <w:rPr>
            <w:noProof/>
            <w:webHidden/>
          </w:rPr>
          <w:tab/>
        </w:r>
        <w:r>
          <w:rPr>
            <w:noProof/>
            <w:webHidden/>
          </w:rPr>
          <w:fldChar w:fldCharType="begin"/>
        </w:r>
        <w:r>
          <w:rPr>
            <w:noProof/>
            <w:webHidden/>
          </w:rPr>
          <w:instrText xml:space="preserve"> PAGEREF _Toc239173052 \h </w:instrText>
        </w:r>
        <w:r>
          <w:rPr>
            <w:noProof/>
            <w:webHidden/>
          </w:rPr>
        </w:r>
        <w:r>
          <w:rPr>
            <w:noProof/>
            <w:webHidden/>
          </w:rPr>
          <w:fldChar w:fldCharType="separate"/>
        </w:r>
        <w:r>
          <w:rPr>
            <w:noProof/>
            <w:webHidden/>
          </w:rPr>
          <w:t>32</w:t>
        </w:r>
        <w:r>
          <w:rPr>
            <w:noProof/>
            <w:webHidden/>
          </w:rPr>
          <w:fldChar w:fldCharType="end"/>
        </w:r>
      </w:hyperlink>
    </w:p>
    <w:p w14:paraId="5F0D62B4" w14:textId="0BAB89A2" w:rsidR="00B93805" w:rsidRDefault="00B93805">
      <w:pPr>
        <w:pStyle w:val="TOC2"/>
        <w:tabs>
          <w:tab w:val="left" w:pos="960"/>
          <w:tab w:val="right" w:leader="dot" w:pos="10070"/>
        </w:tabs>
        <w:rPr>
          <w:rFonts w:eastAsiaTheme="minorEastAsia" w:cstheme="minorBidi"/>
          <w:smallCaps w:val="0"/>
          <w:noProof/>
          <w:kern w:val="2"/>
          <w:sz w:val="24"/>
          <w:szCs w:val="24"/>
          <w14:ligatures w14:val="standardContextual"/>
        </w:rPr>
      </w:pPr>
      <w:hyperlink w:anchor="_Toc239173053" w:history="1">
        <w:r w:rsidRPr="00CF73D0">
          <w:rPr>
            <w:rStyle w:val="Hyperlink"/>
            <w:noProof/>
          </w:rPr>
          <w:t>13.4</w:t>
        </w:r>
        <w:r>
          <w:rPr>
            <w:rFonts w:eastAsiaTheme="minorEastAsia" w:cstheme="minorBidi"/>
            <w:smallCaps w:val="0"/>
            <w:noProof/>
            <w:kern w:val="2"/>
            <w:sz w:val="24"/>
            <w:szCs w:val="24"/>
            <w14:ligatures w14:val="standardContextual"/>
          </w:rPr>
          <w:tab/>
        </w:r>
        <w:r w:rsidRPr="00CF73D0">
          <w:rPr>
            <w:rStyle w:val="Hyperlink"/>
            <w:noProof/>
          </w:rPr>
          <w:t>Accounting for climate change</w:t>
        </w:r>
        <w:r>
          <w:rPr>
            <w:noProof/>
            <w:webHidden/>
          </w:rPr>
          <w:tab/>
        </w:r>
        <w:r>
          <w:rPr>
            <w:noProof/>
            <w:webHidden/>
          </w:rPr>
          <w:fldChar w:fldCharType="begin"/>
        </w:r>
        <w:r>
          <w:rPr>
            <w:noProof/>
            <w:webHidden/>
          </w:rPr>
          <w:instrText xml:space="preserve"> PAGEREF _Toc239173053 \h </w:instrText>
        </w:r>
        <w:r>
          <w:rPr>
            <w:noProof/>
            <w:webHidden/>
          </w:rPr>
        </w:r>
        <w:r>
          <w:rPr>
            <w:noProof/>
            <w:webHidden/>
          </w:rPr>
          <w:fldChar w:fldCharType="separate"/>
        </w:r>
        <w:r>
          <w:rPr>
            <w:noProof/>
            <w:webHidden/>
          </w:rPr>
          <w:t>32</w:t>
        </w:r>
        <w:r>
          <w:rPr>
            <w:noProof/>
            <w:webHidden/>
          </w:rPr>
          <w:fldChar w:fldCharType="end"/>
        </w:r>
      </w:hyperlink>
    </w:p>
    <w:p w14:paraId="1F906BA9" w14:textId="79D3C70C" w:rsidR="00B93805" w:rsidRDefault="00B93805">
      <w:pPr>
        <w:pStyle w:val="TOC3"/>
        <w:tabs>
          <w:tab w:val="left" w:pos="1440"/>
          <w:tab w:val="right" w:leader="dot" w:pos="10070"/>
        </w:tabs>
        <w:rPr>
          <w:rFonts w:eastAsiaTheme="minorEastAsia" w:cstheme="minorBidi"/>
          <w:i w:val="0"/>
          <w:iCs w:val="0"/>
          <w:noProof/>
          <w:kern w:val="2"/>
          <w:sz w:val="24"/>
          <w:szCs w:val="24"/>
          <w14:ligatures w14:val="standardContextual"/>
        </w:rPr>
      </w:pPr>
      <w:hyperlink w:anchor="_Toc239173054" w:history="1">
        <w:r w:rsidRPr="00CF73D0">
          <w:rPr>
            <w:rStyle w:val="Hyperlink"/>
            <w:noProof/>
          </w:rPr>
          <w:t>13.4.1</w:t>
        </w:r>
        <w:r>
          <w:rPr>
            <w:rFonts w:eastAsiaTheme="minorEastAsia" w:cstheme="minorBidi"/>
            <w:i w:val="0"/>
            <w:iCs w:val="0"/>
            <w:noProof/>
            <w:kern w:val="2"/>
            <w:sz w:val="24"/>
            <w:szCs w:val="24"/>
            <w14:ligatures w14:val="standardContextual"/>
          </w:rPr>
          <w:tab/>
        </w:r>
        <w:r w:rsidRPr="00CF73D0">
          <w:rPr>
            <w:rStyle w:val="Hyperlink"/>
            <w:noProof/>
          </w:rPr>
          <w:t xml:space="preserve"> Introduction</w:t>
        </w:r>
        <w:r>
          <w:rPr>
            <w:noProof/>
            <w:webHidden/>
          </w:rPr>
          <w:tab/>
        </w:r>
        <w:r>
          <w:rPr>
            <w:noProof/>
            <w:webHidden/>
          </w:rPr>
          <w:fldChar w:fldCharType="begin"/>
        </w:r>
        <w:r>
          <w:rPr>
            <w:noProof/>
            <w:webHidden/>
          </w:rPr>
          <w:instrText xml:space="preserve"> PAGEREF _Toc239173054 \h </w:instrText>
        </w:r>
        <w:r>
          <w:rPr>
            <w:noProof/>
            <w:webHidden/>
          </w:rPr>
        </w:r>
        <w:r>
          <w:rPr>
            <w:noProof/>
            <w:webHidden/>
          </w:rPr>
          <w:fldChar w:fldCharType="separate"/>
        </w:r>
        <w:r>
          <w:rPr>
            <w:noProof/>
            <w:webHidden/>
          </w:rPr>
          <w:t>32</w:t>
        </w:r>
        <w:r>
          <w:rPr>
            <w:noProof/>
            <w:webHidden/>
          </w:rPr>
          <w:fldChar w:fldCharType="end"/>
        </w:r>
      </w:hyperlink>
    </w:p>
    <w:p w14:paraId="027EE4D3" w14:textId="19679ECF" w:rsidR="00B93805" w:rsidRDefault="00B93805">
      <w:pPr>
        <w:pStyle w:val="TOC3"/>
        <w:tabs>
          <w:tab w:val="left" w:pos="1440"/>
          <w:tab w:val="right" w:leader="dot" w:pos="10070"/>
        </w:tabs>
        <w:rPr>
          <w:rFonts w:eastAsiaTheme="minorEastAsia" w:cstheme="minorBidi"/>
          <w:i w:val="0"/>
          <w:iCs w:val="0"/>
          <w:noProof/>
          <w:kern w:val="2"/>
          <w:sz w:val="24"/>
          <w:szCs w:val="24"/>
          <w14:ligatures w14:val="standardContextual"/>
        </w:rPr>
      </w:pPr>
      <w:hyperlink w:anchor="_Toc239173055" w:history="1">
        <w:r w:rsidRPr="00CF73D0">
          <w:rPr>
            <w:rStyle w:val="Hyperlink"/>
            <w:noProof/>
          </w:rPr>
          <w:t>13.4.2</w:t>
        </w:r>
        <w:r>
          <w:rPr>
            <w:rFonts w:eastAsiaTheme="minorEastAsia" w:cstheme="minorBidi"/>
            <w:i w:val="0"/>
            <w:iCs w:val="0"/>
            <w:noProof/>
            <w:kern w:val="2"/>
            <w:sz w:val="24"/>
            <w:szCs w:val="24"/>
            <w14:ligatures w14:val="standardContextual"/>
          </w:rPr>
          <w:tab/>
        </w:r>
        <w:r w:rsidRPr="00CF73D0">
          <w:rPr>
            <w:rStyle w:val="Hyperlink"/>
            <w:noProof/>
          </w:rPr>
          <w:t xml:space="preserve"> Applying the SEEA EA to inform climate policies</w:t>
        </w:r>
        <w:r>
          <w:rPr>
            <w:noProof/>
            <w:webHidden/>
          </w:rPr>
          <w:tab/>
        </w:r>
        <w:r>
          <w:rPr>
            <w:noProof/>
            <w:webHidden/>
          </w:rPr>
          <w:fldChar w:fldCharType="begin"/>
        </w:r>
        <w:r>
          <w:rPr>
            <w:noProof/>
            <w:webHidden/>
          </w:rPr>
          <w:instrText xml:space="preserve"> PAGEREF _Toc239173055 \h </w:instrText>
        </w:r>
        <w:r>
          <w:rPr>
            <w:noProof/>
            <w:webHidden/>
          </w:rPr>
        </w:r>
        <w:r>
          <w:rPr>
            <w:noProof/>
            <w:webHidden/>
          </w:rPr>
          <w:fldChar w:fldCharType="separate"/>
        </w:r>
        <w:r>
          <w:rPr>
            <w:noProof/>
            <w:webHidden/>
          </w:rPr>
          <w:t>32</w:t>
        </w:r>
        <w:r>
          <w:rPr>
            <w:noProof/>
            <w:webHidden/>
          </w:rPr>
          <w:fldChar w:fldCharType="end"/>
        </w:r>
      </w:hyperlink>
    </w:p>
    <w:p w14:paraId="591D2F7E" w14:textId="4AA48CAB" w:rsidR="00B93805" w:rsidRDefault="00B93805">
      <w:pPr>
        <w:pStyle w:val="TOC3"/>
        <w:tabs>
          <w:tab w:val="left" w:pos="1440"/>
          <w:tab w:val="right" w:leader="dot" w:pos="10070"/>
        </w:tabs>
        <w:rPr>
          <w:rFonts w:eastAsiaTheme="minorEastAsia" w:cstheme="minorBidi"/>
          <w:i w:val="0"/>
          <w:iCs w:val="0"/>
          <w:noProof/>
          <w:kern w:val="2"/>
          <w:sz w:val="24"/>
          <w:szCs w:val="24"/>
          <w14:ligatures w14:val="standardContextual"/>
        </w:rPr>
      </w:pPr>
      <w:hyperlink w:anchor="_Toc239173056" w:history="1">
        <w:r w:rsidRPr="00CF73D0">
          <w:rPr>
            <w:rStyle w:val="Hyperlink"/>
            <w:noProof/>
          </w:rPr>
          <w:t>13.4.3</w:t>
        </w:r>
        <w:r>
          <w:rPr>
            <w:rFonts w:eastAsiaTheme="minorEastAsia" w:cstheme="minorBidi"/>
            <w:i w:val="0"/>
            <w:iCs w:val="0"/>
            <w:noProof/>
            <w:kern w:val="2"/>
            <w:sz w:val="24"/>
            <w:szCs w:val="24"/>
            <w14:ligatures w14:val="standardContextual"/>
          </w:rPr>
          <w:tab/>
        </w:r>
        <w:r w:rsidRPr="00CF73D0">
          <w:rPr>
            <w:rStyle w:val="Hyperlink"/>
            <w:noProof/>
          </w:rPr>
          <w:t>Accounting for carbon</w:t>
        </w:r>
        <w:r>
          <w:rPr>
            <w:noProof/>
            <w:webHidden/>
          </w:rPr>
          <w:tab/>
        </w:r>
        <w:r>
          <w:rPr>
            <w:noProof/>
            <w:webHidden/>
          </w:rPr>
          <w:fldChar w:fldCharType="begin"/>
        </w:r>
        <w:r>
          <w:rPr>
            <w:noProof/>
            <w:webHidden/>
          </w:rPr>
          <w:instrText xml:space="preserve"> PAGEREF _Toc239173056 \h </w:instrText>
        </w:r>
        <w:r>
          <w:rPr>
            <w:noProof/>
            <w:webHidden/>
          </w:rPr>
        </w:r>
        <w:r>
          <w:rPr>
            <w:noProof/>
            <w:webHidden/>
          </w:rPr>
          <w:fldChar w:fldCharType="separate"/>
        </w:r>
        <w:r>
          <w:rPr>
            <w:noProof/>
            <w:webHidden/>
          </w:rPr>
          <w:t>34</w:t>
        </w:r>
        <w:r>
          <w:rPr>
            <w:noProof/>
            <w:webHidden/>
          </w:rPr>
          <w:fldChar w:fldCharType="end"/>
        </w:r>
      </w:hyperlink>
    </w:p>
    <w:p w14:paraId="4FB3E17F" w14:textId="37484035" w:rsidR="00B93805" w:rsidRDefault="00B93805">
      <w:pPr>
        <w:pStyle w:val="TOC3"/>
        <w:tabs>
          <w:tab w:val="left" w:pos="1440"/>
          <w:tab w:val="right" w:leader="dot" w:pos="10070"/>
        </w:tabs>
        <w:rPr>
          <w:rFonts w:eastAsiaTheme="minorEastAsia" w:cstheme="minorBidi"/>
          <w:i w:val="0"/>
          <w:iCs w:val="0"/>
          <w:noProof/>
          <w:kern w:val="2"/>
          <w:sz w:val="24"/>
          <w:szCs w:val="24"/>
          <w14:ligatures w14:val="standardContextual"/>
        </w:rPr>
      </w:pPr>
      <w:hyperlink w:anchor="_Toc239173057" w:history="1">
        <w:r w:rsidRPr="00CF73D0">
          <w:rPr>
            <w:rStyle w:val="Hyperlink"/>
            <w:noProof/>
          </w:rPr>
          <w:t>13.4.4</w:t>
        </w:r>
        <w:r>
          <w:rPr>
            <w:rFonts w:eastAsiaTheme="minorEastAsia" w:cstheme="minorBidi"/>
            <w:i w:val="0"/>
            <w:iCs w:val="0"/>
            <w:noProof/>
            <w:kern w:val="2"/>
            <w:sz w:val="24"/>
            <w:szCs w:val="24"/>
            <w14:ligatures w14:val="standardContextual"/>
          </w:rPr>
          <w:tab/>
        </w:r>
        <w:r w:rsidRPr="00CF73D0">
          <w:rPr>
            <w:rStyle w:val="Hyperlink"/>
            <w:noProof/>
          </w:rPr>
          <w:t>Other climate change related accounts and indicators</w:t>
        </w:r>
        <w:r>
          <w:rPr>
            <w:noProof/>
            <w:webHidden/>
          </w:rPr>
          <w:tab/>
        </w:r>
        <w:r>
          <w:rPr>
            <w:noProof/>
            <w:webHidden/>
          </w:rPr>
          <w:fldChar w:fldCharType="begin"/>
        </w:r>
        <w:r>
          <w:rPr>
            <w:noProof/>
            <w:webHidden/>
          </w:rPr>
          <w:instrText xml:space="preserve"> PAGEREF _Toc239173057 \h </w:instrText>
        </w:r>
        <w:r>
          <w:rPr>
            <w:noProof/>
            <w:webHidden/>
          </w:rPr>
        </w:r>
        <w:r>
          <w:rPr>
            <w:noProof/>
            <w:webHidden/>
          </w:rPr>
          <w:fldChar w:fldCharType="separate"/>
        </w:r>
        <w:r>
          <w:rPr>
            <w:noProof/>
            <w:webHidden/>
          </w:rPr>
          <w:t>36</w:t>
        </w:r>
        <w:r>
          <w:rPr>
            <w:noProof/>
            <w:webHidden/>
          </w:rPr>
          <w:fldChar w:fldCharType="end"/>
        </w:r>
      </w:hyperlink>
    </w:p>
    <w:p w14:paraId="42DEA51F" w14:textId="035EF010" w:rsidR="00B93805" w:rsidRDefault="00B93805">
      <w:pPr>
        <w:pStyle w:val="TOC2"/>
        <w:tabs>
          <w:tab w:val="right" w:leader="dot" w:pos="10070"/>
        </w:tabs>
        <w:rPr>
          <w:rFonts w:eastAsiaTheme="minorEastAsia" w:cstheme="minorBidi"/>
          <w:smallCaps w:val="0"/>
          <w:noProof/>
          <w:kern w:val="2"/>
          <w:sz w:val="24"/>
          <w:szCs w:val="24"/>
          <w14:ligatures w14:val="standardContextual"/>
        </w:rPr>
      </w:pPr>
      <w:hyperlink w:anchor="_Toc239173058" w:history="1">
        <w:r w:rsidRPr="00CF73D0">
          <w:rPr>
            <w:rStyle w:val="Hyperlink"/>
            <w:noProof/>
          </w:rPr>
          <w:t>Annex 13.2: Carbon stock account</w:t>
        </w:r>
        <w:r>
          <w:rPr>
            <w:noProof/>
            <w:webHidden/>
          </w:rPr>
          <w:tab/>
        </w:r>
        <w:r>
          <w:rPr>
            <w:noProof/>
            <w:webHidden/>
          </w:rPr>
          <w:fldChar w:fldCharType="begin"/>
        </w:r>
        <w:r>
          <w:rPr>
            <w:noProof/>
            <w:webHidden/>
          </w:rPr>
          <w:instrText xml:space="preserve"> PAGEREF _Toc239173058 \h </w:instrText>
        </w:r>
        <w:r>
          <w:rPr>
            <w:noProof/>
            <w:webHidden/>
          </w:rPr>
        </w:r>
        <w:r>
          <w:rPr>
            <w:noProof/>
            <w:webHidden/>
          </w:rPr>
          <w:fldChar w:fldCharType="separate"/>
        </w:r>
        <w:r>
          <w:rPr>
            <w:noProof/>
            <w:webHidden/>
          </w:rPr>
          <w:t>38</w:t>
        </w:r>
        <w:r>
          <w:rPr>
            <w:noProof/>
            <w:webHidden/>
          </w:rPr>
          <w:fldChar w:fldCharType="end"/>
        </w:r>
      </w:hyperlink>
    </w:p>
    <w:p w14:paraId="727163E2" w14:textId="7AA28670" w:rsidR="00B93805" w:rsidRDefault="00B93805">
      <w:pPr>
        <w:pStyle w:val="TOC1"/>
        <w:tabs>
          <w:tab w:val="right" w:leader="dot" w:pos="10070"/>
        </w:tabs>
        <w:rPr>
          <w:rFonts w:eastAsiaTheme="minorEastAsia" w:cstheme="minorBidi"/>
          <w:b w:val="0"/>
          <w:bCs w:val="0"/>
          <w:caps w:val="0"/>
          <w:noProof/>
          <w:kern w:val="2"/>
          <w:sz w:val="24"/>
          <w:szCs w:val="24"/>
          <w14:ligatures w14:val="standardContextual"/>
        </w:rPr>
      </w:pPr>
      <w:hyperlink w:anchor="_Toc239173059" w:history="1">
        <w:r w:rsidRPr="00CF73D0">
          <w:rPr>
            <w:rStyle w:val="Hyperlink"/>
            <w:noProof/>
          </w:rPr>
          <w:t>References (to be completed)</w:t>
        </w:r>
        <w:r>
          <w:rPr>
            <w:noProof/>
            <w:webHidden/>
          </w:rPr>
          <w:tab/>
        </w:r>
        <w:r>
          <w:rPr>
            <w:noProof/>
            <w:webHidden/>
          </w:rPr>
          <w:fldChar w:fldCharType="begin"/>
        </w:r>
        <w:r>
          <w:rPr>
            <w:noProof/>
            <w:webHidden/>
          </w:rPr>
          <w:instrText xml:space="preserve"> PAGEREF _Toc239173059 \h </w:instrText>
        </w:r>
        <w:r>
          <w:rPr>
            <w:noProof/>
            <w:webHidden/>
          </w:rPr>
        </w:r>
        <w:r>
          <w:rPr>
            <w:noProof/>
            <w:webHidden/>
          </w:rPr>
          <w:fldChar w:fldCharType="separate"/>
        </w:r>
        <w:r>
          <w:rPr>
            <w:noProof/>
            <w:webHidden/>
          </w:rPr>
          <w:t>42</w:t>
        </w:r>
        <w:r>
          <w:rPr>
            <w:noProof/>
            <w:webHidden/>
          </w:rPr>
          <w:fldChar w:fldCharType="end"/>
        </w:r>
      </w:hyperlink>
    </w:p>
    <w:p w14:paraId="2216E095" w14:textId="0311DC34" w:rsidR="00AE67E7" w:rsidRDefault="00A914A9" w:rsidP="00AE67E7">
      <w:pPr>
        <w:pStyle w:val="FranklinHeader"/>
      </w:pPr>
      <w:r>
        <w:rPr>
          <w:rFonts w:asciiTheme="minorHAnsi" w:eastAsia="PMingLiU" w:hAnsiTheme="minorHAnsi" w:cstheme="minorHAnsi"/>
          <w:b/>
          <w:bCs/>
          <w:caps/>
          <w:color w:val="auto"/>
          <w:sz w:val="20"/>
          <w:szCs w:val="20"/>
        </w:rPr>
        <w:fldChar w:fldCharType="end"/>
      </w:r>
    </w:p>
    <w:p w14:paraId="22B3868F" w14:textId="77777777" w:rsidR="00C81F8C" w:rsidRDefault="00C81F8C" w:rsidP="00C81F8C"/>
    <w:p w14:paraId="221C4442" w14:textId="77777777" w:rsidR="00AE67E7" w:rsidRDefault="00AE67E7">
      <w:pPr>
        <w:rPr>
          <w:rFonts w:asciiTheme="minorHAnsi" w:eastAsiaTheme="majorEastAsia" w:hAnsiTheme="minorHAnsi" w:cs="Calibri (Body)"/>
          <w:b/>
          <w:color w:val="125771" w:themeColor="accent1" w:themeShade="BF"/>
          <w:sz w:val="28"/>
          <w:szCs w:val="22"/>
        </w:rPr>
      </w:pPr>
      <w:bookmarkStart w:id="0" w:name="_Toc226973245"/>
      <w:r>
        <w:br w:type="page"/>
      </w:r>
    </w:p>
    <w:p w14:paraId="283ABEC0" w14:textId="2697A185" w:rsidR="00F606A3" w:rsidRDefault="00F606A3" w:rsidP="00F606A3">
      <w:pPr>
        <w:pStyle w:val="Heading1"/>
        <w:numPr>
          <w:ilvl w:val="0"/>
          <w:numId w:val="0"/>
        </w:numPr>
        <w:spacing w:before="0"/>
        <w:ind w:left="17"/>
      </w:pPr>
      <w:bookmarkStart w:id="1" w:name="_Toc239173034"/>
      <w:r>
        <w:lastRenderedPageBreak/>
        <w:t>Executive summary</w:t>
      </w:r>
      <w:bookmarkEnd w:id="0"/>
      <w:bookmarkEnd w:id="1"/>
    </w:p>
    <w:p w14:paraId="70B48C09" w14:textId="4897AF26" w:rsidR="00F606A3" w:rsidRDefault="00F606A3" w:rsidP="00F606A3">
      <w:pPr>
        <w:pStyle w:val="Heading2"/>
        <w:numPr>
          <w:ilvl w:val="0"/>
          <w:numId w:val="0"/>
        </w:numPr>
        <w:spacing w:before="0"/>
        <w:ind w:left="17"/>
      </w:pPr>
      <w:bookmarkStart w:id="2" w:name="_Toc226973246"/>
      <w:bookmarkStart w:id="3" w:name="_Toc239173035"/>
      <w:r>
        <w:t>Description of issue</w:t>
      </w:r>
      <w:bookmarkEnd w:id="2"/>
      <w:bookmarkEnd w:id="3"/>
    </w:p>
    <w:p w14:paraId="17DD9A91" w14:textId="77777777" w:rsidR="004255F1" w:rsidRDefault="004255F1" w:rsidP="004255F1">
      <w:pPr>
        <w:pStyle w:val="Paragraph"/>
        <w:numPr>
          <w:ilvl w:val="0"/>
          <w:numId w:val="0"/>
        </w:numPr>
        <w:rPr>
          <w:lang w:val="en-GB"/>
        </w:rPr>
      </w:pPr>
      <w:r>
        <w:t xml:space="preserve">This Guidance Note (GN) outlines the relevant considerations concerning SEEA Central Framework (SEEA CF) update issue D1 on the inclusion of a carbon stock account in the updated SEEA CF. </w:t>
      </w:r>
      <w:r>
        <w:rPr>
          <w:lang w:val="en-GB"/>
        </w:rPr>
        <w:t>The broad proposal for consideration is whether the current content and description of a carbon stock account that is presented in Chapter 13 of the SEEA Ecosystem Accounting (SEEA EA) should be included in the SEEA CF; and if so, what changes to that content should be recommended.</w:t>
      </w:r>
    </w:p>
    <w:p w14:paraId="2B7F6459" w14:textId="458D6BC3" w:rsidR="004255F1" w:rsidRPr="00E60955" w:rsidRDefault="004255F1" w:rsidP="004255F1">
      <w:pPr>
        <w:pStyle w:val="Paragraph"/>
        <w:numPr>
          <w:ilvl w:val="0"/>
          <w:numId w:val="0"/>
        </w:numPr>
        <w:rPr>
          <w:lang w:val="en-GB"/>
        </w:rPr>
      </w:pPr>
      <w:r w:rsidRPr="00E60955">
        <w:rPr>
          <w:lang w:val="en-GB"/>
        </w:rPr>
        <w:t>The carbon stock account is introduced and described in detail in the SEEA EA (Section 13.4 and Annex 13.2</w:t>
      </w:r>
      <w:r w:rsidR="00820058">
        <w:rPr>
          <w:lang w:val="en-GB"/>
        </w:rPr>
        <w:t>)</w:t>
      </w:r>
      <w:r w:rsidRPr="00E60955">
        <w:rPr>
          <w:lang w:val="en-GB"/>
        </w:rPr>
        <w:t xml:space="preserve">. </w:t>
      </w:r>
      <w:r w:rsidR="00044DFA">
        <w:rPr>
          <w:lang w:val="en-GB"/>
        </w:rPr>
        <w:t>These sections outline how SEEA EA can support accounting for climate change</w:t>
      </w:r>
      <w:r w:rsidR="00016C1F">
        <w:rPr>
          <w:lang w:val="en-GB"/>
        </w:rPr>
        <w:t xml:space="preserve"> with a focus on accounting for carbon </w:t>
      </w:r>
      <w:r w:rsidRPr="00E60955">
        <w:rPr>
          <w:lang w:val="en-GB"/>
        </w:rPr>
        <w:t xml:space="preserve">stocks </w:t>
      </w:r>
      <w:r w:rsidR="00016C1F">
        <w:rPr>
          <w:lang w:val="en-GB"/>
        </w:rPr>
        <w:t xml:space="preserve">in </w:t>
      </w:r>
      <w:r w:rsidRPr="00E60955">
        <w:rPr>
          <w:lang w:val="en-GB"/>
        </w:rPr>
        <w:t xml:space="preserve">all carbon reservoirs, namely </w:t>
      </w:r>
      <w:r w:rsidR="00D728A8">
        <w:rPr>
          <w:lang w:val="en-GB"/>
        </w:rPr>
        <w:t>g</w:t>
      </w:r>
      <w:r w:rsidRPr="00E60955">
        <w:rPr>
          <w:lang w:val="en-GB"/>
        </w:rPr>
        <w:t xml:space="preserve">eosphere, </w:t>
      </w:r>
      <w:r w:rsidR="00D728A8">
        <w:rPr>
          <w:lang w:val="en-GB"/>
        </w:rPr>
        <w:t>b</w:t>
      </w:r>
      <w:r w:rsidRPr="00E60955">
        <w:rPr>
          <w:lang w:val="en-GB"/>
        </w:rPr>
        <w:t xml:space="preserve">iosphere, </w:t>
      </w:r>
      <w:r w:rsidR="00D728A8">
        <w:rPr>
          <w:lang w:val="en-GB"/>
        </w:rPr>
        <w:t>a</w:t>
      </w:r>
      <w:r w:rsidRPr="00E60955">
        <w:rPr>
          <w:lang w:val="en-GB"/>
        </w:rPr>
        <w:t xml:space="preserve">tmosphere, </w:t>
      </w:r>
      <w:r w:rsidR="00D728A8">
        <w:rPr>
          <w:lang w:val="en-GB"/>
        </w:rPr>
        <w:t>o</w:t>
      </w:r>
      <w:r w:rsidRPr="00E60955">
        <w:rPr>
          <w:lang w:val="en-GB"/>
        </w:rPr>
        <w:t xml:space="preserve">ceans and </w:t>
      </w:r>
      <w:r w:rsidR="00D728A8">
        <w:rPr>
          <w:lang w:val="en-GB"/>
        </w:rPr>
        <w:t>a</w:t>
      </w:r>
      <w:r w:rsidRPr="00E60955">
        <w:rPr>
          <w:lang w:val="en-GB"/>
        </w:rPr>
        <w:t>ccumulation in the economy. The structure of the carbon stock account</w:t>
      </w:r>
      <w:r w:rsidR="00925F48">
        <w:rPr>
          <w:lang w:val="en-GB"/>
        </w:rPr>
        <w:t xml:space="preserve"> </w:t>
      </w:r>
      <w:r w:rsidRPr="00E60955">
        <w:rPr>
          <w:lang w:val="en-GB"/>
        </w:rPr>
        <w:t xml:space="preserve">follows the structure of an asset account as described in </w:t>
      </w:r>
      <w:r w:rsidR="00925F48">
        <w:rPr>
          <w:lang w:val="en-GB"/>
        </w:rPr>
        <w:t xml:space="preserve">Chapter 2 of </w:t>
      </w:r>
      <w:r w:rsidRPr="00E60955">
        <w:rPr>
          <w:lang w:val="en-GB"/>
        </w:rPr>
        <w:t xml:space="preserve">the </w:t>
      </w:r>
      <w:r w:rsidR="00925F48">
        <w:rPr>
          <w:lang w:val="en-GB"/>
        </w:rPr>
        <w:t xml:space="preserve">2012 </w:t>
      </w:r>
      <w:r w:rsidRPr="00E60955">
        <w:rPr>
          <w:lang w:val="en-GB"/>
        </w:rPr>
        <w:t xml:space="preserve">SEEA </w:t>
      </w:r>
      <w:r>
        <w:rPr>
          <w:lang w:val="en-GB"/>
        </w:rPr>
        <w:t>CF</w:t>
      </w:r>
      <w:r w:rsidR="00D728A8">
        <w:rPr>
          <w:lang w:val="en-GB"/>
        </w:rPr>
        <w:t xml:space="preserve"> however, the carbon stock account itself has not been adopted as a statistical standard.</w:t>
      </w:r>
    </w:p>
    <w:p w14:paraId="6371C6B0" w14:textId="77777777" w:rsidR="00F606A3" w:rsidRPr="009159BE" w:rsidRDefault="00F606A3" w:rsidP="00F606A3"/>
    <w:p w14:paraId="1EE047EC" w14:textId="77777777" w:rsidR="00F606A3" w:rsidRDefault="00F606A3" w:rsidP="00F606A3">
      <w:pPr>
        <w:pStyle w:val="Heading2"/>
        <w:numPr>
          <w:ilvl w:val="0"/>
          <w:numId w:val="0"/>
        </w:numPr>
        <w:spacing w:before="0"/>
        <w:ind w:left="17"/>
      </w:pPr>
      <w:bookmarkStart w:id="4" w:name="_Toc226973247"/>
      <w:bookmarkStart w:id="5" w:name="_Toc239173036"/>
      <w:r>
        <w:t>Summary of proposals</w:t>
      </w:r>
      <w:bookmarkEnd w:id="4"/>
      <w:bookmarkEnd w:id="5"/>
    </w:p>
    <w:p w14:paraId="02A3DDC8" w14:textId="77777777" w:rsidR="00F14E92" w:rsidRDefault="00F14E92" w:rsidP="00F14E92">
      <w:pPr>
        <w:pStyle w:val="Heading4"/>
        <w:numPr>
          <w:ilvl w:val="0"/>
          <w:numId w:val="0"/>
        </w:numPr>
        <w:ind w:left="17"/>
        <w:rPr>
          <w:lang w:val="en-GB"/>
        </w:rPr>
      </w:pPr>
      <w:r>
        <w:rPr>
          <w:lang w:val="en-GB"/>
        </w:rPr>
        <w:t>Inclusion of the carbon stock account in the SEEA CF or SEEA EA</w:t>
      </w:r>
    </w:p>
    <w:p w14:paraId="637FE492" w14:textId="77777777" w:rsidR="00F14E92" w:rsidRDefault="00F14E92" w:rsidP="00F14E92">
      <w:pPr>
        <w:pStyle w:val="Paragraph"/>
        <w:numPr>
          <w:ilvl w:val="0"/>
          <w:numId w:val="0"/>
        </w:numPr>
        <w:rPr>
          <w:lang w:val="en-GB"/>
        </w:rPr>
      </w:pPr>
      <w:r>
        <w:rPr>
          <w:lang w:val="en-GB"/>
        </w:rPr>
        <w:t xml:space="preserve">The benefits of compiling a carbon stock account in physical terms are generally recognised with examples of policy and analytical uses of data from carbon stock accounts listed in Section 2. However, in discussing this issue, it is recognised that updating the content of the SEEA EA on the carbon stock account could be undertaken separately from the SEEA CF update process. </w:t>
      </w:r>
    </w:p>
    <w:p w14:paraId="3C70A79B" w14:textId="77777777" w:rsidR="00F14E92" w:rsidRDefault="00F14E92" w:rsidP="00F14E92">
      <w:pPr>
        <w:pStyle w:val="Paragraph"/>
        <w:numPr>
          <w:ilvl w:val="0"/>
          <w:numId w:val="0"/>
        </w:numPr>
        <w:rPr>
          <w:lang w:val="en-GB"/>
        </w:rPr>
      </w:pPr>
      <w:r>
        <w:rPr>
          <w:lang w:val="en-GB"/>
        </w:rPr>
        <w:t>Overall, since the carbon stock account is consistent with the types of accounts in the SEEA CF, it is considered that the update of the SEEA CF provides a good opportunity to better integrate this account with the wider SEEA set of accounts and to update the content of the SEEA EA to reflect developments in the updated SEEA CF and the recent changes to the 2025 SNA. It is therefore proposed to include an updated description of the carbon stock account in the SEEA CF.</w:t>
      </w:r>
    </w:p>
    <w:p w14:paraId="33CC6A1A" w14:textId="77777777" w:rsidR="00F14E92" w:rsidRPr="00925F48" w:rsidRDefault="00F14E92" w:rsidP="00F14E92">
      <w:pPr>
        <w:pStyle w:val="Paragraph"/>
        <w:numPr>
          <w:ilvl w:val="0"/>
          <w:numId w:val="0"/>
        </w:numPr>
        <w:rPr>
          <w:lang w:val="en-GB"/>
        </w:rPr>
      </w:pPr>
    </w:p>
    <w:p w14:paraId="4FC330AC" w14:textId="4BB3C1BE" w:rsidR="00F64EBA" w:rsidRDefault="00F64EBA" w:rsidP="00F64EBA">
      <w:pPr>
        <w:pStyle w:val="Heading4"/>
        <w:numPr>
          <w:ilvl w:val="0"/>
          <w:numId w:val="0"/>
        </w:numPr>
        <w:ind w:left="17"/>
        <w:rPr>
          <w:lang w:val="en-GB"/>
        </w:rPr>
      </w:pPr>
      <w:r>
        <w:rPr>
          <w:lang w:val="en-GB"/>
        </w:rPr>
        <w:t>Conceptual issues</w:t>
      </w:r>
    </w:p>
    <w:p w14:paraId="0FCB0C9E" w14:textId="7A956150" w:rsidR="009F2CA0" w:rsidRDefault="007D5A10" w:rsidP="00925F48">
      <w:pPr>
        <w:pStyle w:val="Paragraph"/>
        <w:numPr>
          <w:ilvl w:val="0"/>
          <w:numId w:val="0"/>
        </w:numPr>
        <w:rPr>
          <w:lang w:val="en-GB"/>
        </w:rPr>
      </w:pPr>
      <w:r>
        <w:rPr>
          <w:lang w:val="en-GB"/>
        </w:rPr>
        <w:t xml:space="preserve">In considering the inclusion of the carbon stock account in the </w:t>
      </w:r>
      <w:r w:rsidR="00874DE2">
        <w:rPr>
          <w:lang w:val="en-GB"/>
        </w:rPr>
        <w:t>updated SEEA CF two conceptual issues have been identified as being relevant</w:t>
      </w:r>
      <w:r w:rsidR="00D77306">
        <w:rPr>
          <w:lang w:val="en-GB"/>
        </w:rPr>
        <w:t xml:space="preserve">. The first </w:t>
      </w:r>
      <w:r w:rsidR="00C91827">
        <w:rPr>
          <w:lang w:val="en-GB"/>
        </w:rPr>
        <w:t xml:space="preserve">issue </w:t>
      </w:r>
      <w:r w:rsidR="00D77306">
        <w:rPr>
          <w:lang w:val="en-GB"/>
        </w:rPr>
        <w:t xml:space="preserve">is whether the carbon stock should be considered an environmental asset </w:t>
      </w:r>
      <w:r w:rsidR="00606C22">
        <w:rPr>
          <w:lang w:val="en-GB"/>
        </w:rPr>
        <w:t xml:space="preserve">following the definition of an environmental asset in the SEEA CF. The current SEEA CF does not </w:t>
      </w:r>
      <w:r w:rsidR="00F057B7">
        <w:rPr>
          <w:lang w:val="en-GB"/>
        </w:rPr>
        <w:t>treat</w:t>
      </w:r>
      <w:r w:rsidR="00606C22">
        <w:rPr>
          <w:lang w:val="en-GB"/>
        </w:rPr>
        <w:t xml:space="preserve"> carbon </w:t>
      </w:r>
      <w:r w:rsidR="00F057B7">
        <w:rPr>
          <w:lang w:val="en-GB"/>
        </w:rPr>
        <w:t xml:space="preserve">as </w:t>
      </w:r>
      <w:r w:rsidR="00606C22">
        <w:rPr>
          <w:lang w:val="en-GB"/>
        </w:rPr>
        <w:t xml:space="preserve">an environmental asset. </w:t>
      </w:r>
      <w:r w:rsidR="00F057B7">
        <w:rPr>
          <w:lang w:val="en-GB"/>
        </w:rPr>
        <w:t xml:space="preserve">Discussion in Section 3 </w:t>
      </w:r>
      <w:r w:rsidR="00014329">
        <w:rPr>
          <w:lang w:val="en-GB"/>
        </w:rPr>
        <w:t xml:space="preserve">raises a range of points for and against treatment as an environmental asset. </w:t>
      </w:r>
    </w:p>
    <w:p w14:paraId="1CAB7D28" w14:textId="3C2F4D49" w:rsidR="00FA557B" w:rsidRDefault="00FA557B" w:rsidP="00925F48">
      <w:pPr>
        <w:pStyle w:val="Paragraph"/>
        <w:numPr>
          <w:ilvl w:val="0"/>
          <w:numId w:val="0"/>
        </w:numPr>
        <w:rPr>
          <w:lang w:val="en-GB"/>
        </w:rPr>
      </w:pPr>
      <w:r>
        <w:rPr>
          <w:lang w:val="en-GB"/>
        </w:rPr>
        <w:t xml:space="preserve">&lt;&lt;The position of the SEEA CF Technical Committee is required to advance this issue. In </w:t>
      </w:r>
      <w:proofErr w:type="gramStart"/>
      <w:r>
        <w:rPr>
          <w:lang w:val="en-GB"/>
        </w:rPr>
        <w:t>short</w:t>
      </w:r>
      <w:proofErr w:type="gramEnd"/>
      <w:r>
        <w:rPr>
          <w:lang w:val="en-GB"/>
        </w:rPr>
        <w:t xml:space="preserve"> the question is whether (a) the GN should present a proposal (which on balance would likely be to retain the current treatment as carbon not being an environmental asset) or (b) the GN presents the two options.&gt;&gt;</w:t>
      </w:r>
    </w:p>
    <w:p w14:paraId="1A458EDB" w14:textId="1D3C39CF" w:rsidR="00925F48" w:rsidRDefault="00606C22" w:rsidP="00925F48">
      <w:pPr>
        <w:pStyle w:val="Paragraph"/>
        <w:numPr>
          <w:ilvl w:val="0"/>
          <w:numId w:val="0"/>
        </w:numPr>
        <w:rPr>
          <w:lang w:val="en-GB"/>
        </w:rPr>
      </w:pPr>
      <w:r>
        <w:rPr>
          <w:lang w:val="en-GB"/>
        </w:rPr>
        <w:t xml:space="preserve">On balance, the GN proposes that </w:t>
      </w:r>
      <w:r w:rsidR="00014329" w:rsidRPr="00FA557B">
        <w:rPr>
          <w:strike/>
          <w:lang w:val="en-GB"/>
        </w:rPr>
        <w:t>the carbon stock should not be considered an environmental asset</w:t>
      </w:r>
      <w:r w:rsidR="001A0FF5" w:rsidRPr="00FA557B">
        <w:rPr>
          <w:strike/>
          <w:lang w:val="en-GB"/>
        </w:rPr>
        <w:t xml:space="preserve"> since, if this were done, it would complicate the discussion and presentation of information on </w:t>
      </w:r>
      <w:r w:rsidR="001A0FF5" w:rsidRPr="00FA557B">
        <w:rPr>
          <w:strike/>
          <w:lang w:val="en-GB"/>
        </w:rPr>
        <w:lastRenderedPageBreak/>
        <w:t>environmental assets</w:t>
      </w:r>
      <w:r w:rsidR="003D09B2" w:rsidRPr="00FA557B">
        <w:rPr>
          <w:strike/>
          <w:lang w:val="en-GB"/>
        </w:rPr>
        <w:t xml:space="preserve"> given that carbon is embodied in many resources that are currently treated as environmental assets – e.g. fossil fuel reserves and timber resources.</w:t>
      </w:r>
      <w:r w:rsidR="00FA557B" w:rsidRPr="00FA557B">
        <w:rPr>
          <w:lang w:val="en-GB"/>
        </w:rPr>
        <w:t xml:space="preserve"> &lt;&lt;To be confirmed&gt;&gt;</w:t>
      </w:r>
    </w:p>
    <w:p w14:paraId="2BE13826" w14:textId="7618EA34" w:rsidR="00C91827" w:rsidRDefault="00C91827" w:rsidP="00925F48">
      <w:pPr>
        <w:pStyle w:val="Paragraph"/>
        <w:numPr>
          <w:ilvl w:val="0"/>
          <w:numId w:val="0"/>
        </w:numPr>
        <w:rPr>
          <w:lang w:val="en-GB"/>
        </w:rPr>
      </w:pPr>
      <w:r>
        <w:rPr>
          <w:lang w:val="en-GB"/>
        </w:rPr>
        <w:t>The second issue is whether it is relevant to calculate the monetary value of the carbon stock</w:t>
      </w:r>
      <w:r w:rsidR="008E674A">
        <w:rPr>
          <w:lang w:val="en-GB"/>
        </w:rPr>
        <w:t xml:space="preserve"> and hence compile carbon stock accounts in monetary terms. This possibility was not considered in the development of the carbon stock account in the SEEA EA. </w:t>
      </w:r>
      <w:r w:rsidR="002A528F">
        <w:rPr>
          <w:lang w:val="en-GB"/>
        </w:rPr>
        <w:t xml:space="preserve">Overall, while </w:t>
      </w:r>
      <w:r w:rsidR="0041575F">
        <w:rPr>
          <w:lang w:val="en-GB"/>
        </w:rPr>
        <w:t>it is possible for some carbon stocks to have, or be associated with, monetary values, it is generally agreed that the value of the total carbon stock – i.e. across all carbon reservoirs – is not an economically meaningful concept.</w:t>
      </w:r>
      <w:r w:rsidR="00C16B72">
        <w:rPr>
          <w:lang w:val="en-GB"/>
        </w:rPr>
        <w:t xml:space="preserve"> It is therefore not recommended to compile a carbon stock account in monetary terms</w:t>
      </w:r>
      <w:r w:rsidR="00D728A8">
        <w:rPr>
          <w:lang w:val="en-GB"/>
        </w:rPr>
        <w:t xml:space="preserve"> in the SEEA CF</w:t>
      </w:r>
      <w:r w:rsidR="00C16B72">
        <w:rPr>
          <w:lang w:val="en-GB"/>
        </w:rPr>
        <w:t>.</w:t>
      </w:r>
    </w:p>
    <w:p w14:paraId="741F09A0" w14:textId="3050FF92" w:rsidR="00455638" w:rsidRDefault="00455638" w:rsidP="00455638">
      <w:pPr>
        <w:pStyle w:val="Paragraph"/>
        <w:numPr>
          <w:ilvl w:val="0"/>
          <w:numId w:val="0"/>
        </w:numPr>
        <w:rPr>
          <w:lang w:val="en-GB"/>
        </w:rPr>
      </w:pPr>
      <w:r>
        <w:rPr>
          <w:lang w:val="en-GB"/>
        </w:rPr>
        <w:t xml:space="preserve">However, related to both of these issues, the GN identifies that in some specific contexts, notably when the </w:t>
      </w:r>
      <w:r w:rsidRPr="006F59DE">
        <w:rPr>
          <w:lang w:val="en-GB"/>
        </w:rPr>
        <w:t>carbon stock is the focus of a carbon market</w:t>
      </w:r>
      <w:r>
        <w:rPr>
          <w:lang w:val="en-GB"/>
        </w:rPr>
        <w:t xml:space="preserve"> or related financial mechanism or instrument, there is the potential for some carbon stocks to be recognised as economic assets and hence as environmental assets in the SEEA CF. Discussion with the national accounts community on this potential treatment is ongoing and considered further in GN C8 on sustainable finance.</w:t>
      </w:r>
    </w:p>
    <w:p w14:paraId="31EE1C9C" w14:textId="77777777" w:rsidR="008341F2" w:rsidRDefault="008341F2" w:rsidP="00925F48">
      <w:pPr>
        <w:pStyle w:val="Paragraph"/>
        <w:numPr>
          <w:ilvl w:val="0"/>
          <w:numId w:val="0"/>
        </w:numPr>
        <w:rPr>
          <w:lang w:val="en-GB"/>
        </w:rPr>
      </w:pPr>
    </w:p>
    <w:p w14:paraId="12F5C445" w14:textId="34E7342A" w:rsidR="00622077" w:rsidRPr="00925F48" w:rsidRDefault="00622077" w:rsidP="00622077">
      <w:pPr>
        <w:pStyle w:val="Heading4"/>
        <w:numPr>
          <w:ilvl w:val="0"/>
          <w:numId w:val="0"/>
        </w:numPr>
        <w:ind w:left="17"/>
        <w:rPr>
          <w:lang w:val="en-GB"/>
        </w:rPr>
      </w:pPr>
      <w:r>
        <w:rPr>
          <w:lang w:val="en-GB"/>
        </w:rPr>
        <w:t>Measurement scope</w:t>
      </w:r>
    </w:p>
    <w:p w14:paraId="0B50F6CC" w14:textId="50C1E430" w:rsidR="00F606A3" w:rsidRDefault="00377CD8" w:rsidP="00622077">
      <w:pPr>
        <w:pStyle w:val="Paragraph"/>
        <w:numPr>
          <w:ilvl w:val="0"/>
          <w:numId w:val="0"/>
        </w:numPr>
        <w:rPr>
          <w:lang w:val="en-GB"/>
        </w:rPr>
      </w:pPr>
      <w:r>
        <w:rPr>
          <w:lang w:val="en-GB"/>
        </w:rPr>
        <w:t>Conceptually, the carbon stock accounts cover five res</w:t>
      </w:r>
      <w:r w:rsidR="002123CE">
        <w:rPr>
          <w:lang w:val="en-GB"/>
        </w:rPr>
        <w:t xml:space="preserve">ervoirs of carbon – geosphere, biosphere, oceans, economy and atmosphere. </w:t>
      </w:r>
      <w:r w:rsidR="00FC7BB3">
        <w:rPr>
          <w:lang w:val="en-GB"/>
        </w:rPr>
        <w:t>The following treatments are proposed in relation to the measurement boundary for these reservoirs:</w:t>
      </w:r>
    </w:p>
    <w:p w14:paraId="17D8D2B4" w14:textId="4CD097D6" w:rsidR="00FC7BB3" w:rsidRDefault="00642425">
      <w:pPr>
        <w:pStyle w:val="Paragraph"/>
        <w:numPr>
          <w:ilvl w:val="0"/>
          <w:numId w:val="39"/>
        </w:numPr>
        <w:rPr>
          <w:lang w:val="en-GB"/>
        </w:rPr>
      </w:pPr>
      <w:r>
        <w:rPr>
          <w:lang w:val="en-GB"/>
        </w:rPr>
        <w:t>Carbon in t</w:t>
      </w:r>
      <w:r w:rsidR="00D76134">
        <w:rPr>
          <w:lang w:val="en-GB"/>
        </w:rPr>
        <w:t>he biosphere should include all carbon stored in terrestrial and freshwater ecosystems (and</w:t>
      </w:r>
      <w:r w:rsidR="009C7444">
        <w:rPr>
          <w:lang w:val="en-GB"/>
        </w:rPr>
        <w:t xml:space="preserve"> all transitional realms following the IUCN Global Ecosystem Typology) </w:t>
      </w:r>
      <w:r>
        <w:rPr>
          <w:lang w:val="en-GB"/>
        </w:rPr>
        <w:t>but excluding carbon in cultivated biological resources</w:t>
      </w:r>
    </w:p>
    <w:p w14:paraId="1061B368" w14:textId="2CD3CC28" w:rsidR="00642425" w:rsidRDefault="00642425">
      <w:pPr>
        <w:pStyle w:val="Paragraph"/>
        <w:numPr>
          <w:ilvl w:val="0"/>
          <w:numId w:val="39"/>
        </w:numPr>
        <w:rPr>
          <w:lang w:val="en-GB"/>
        </w:rPr>
      </w:pPr>
      <w:r>
        <w:rPr>
          <w:lang w:val="en-GB"/>
        </w:rPr>
        <w:t xml:space="preserve">Carbon in the economy should include all carbon in fixed assets, inventories, consumer durables, </w:t>
      </w:r>
      <w:r w:rsidR="008B6C6D">
        <w:rPr>
          <w:lang w:val="en-GB"/>
        </w:rPr>
        <w:t>waste and cultivated biological resources.</w:t>
      </w:r>
    </w:p>
    <w:p w14:paraId="00CDF37B" w14:textId="6DB7CE52" w:rsidR="008B6C6D" w:rsidRDefault="008B6C6D">
      <w:pPr>
        <w:pStyle w:val="Paragraph"/>
        <w:numPr>
          <w:ilvl w:val="0"/>
          <w:numId w:val="39"/>
        </w:numPr>
        <w:rPr>
          <w:lang w:val="en-GB"/>
        </w:rPr>
      </w:pPr>
      <w:r>
        <w:rPr>
          <w:lang w:val="en-GB"/>
        </w:rPr>
        <w:t xml:space="preserve">Carbon captured </w:t>
      </w:r>
      <w:r w:rsidR="00D467AB">
        <w:rPr>
          <w:lang w:val="en-GB"/>
        </w:rPr>
        <w:t xml:space="preserve">through economic activity and stored should be treated as </w:t>
      </w:r>
      <w:r w:rsidR="002F1986">
        <w:rPr>
          <w:lang w:val="en-GB"/>
        </w:rPr>
        <w:t xml:space="preserve">carbon in the economy or carbon in the geosphere pending an agreed treatment on </w:t>
      </w:r>
      <w:r w:rsidR="000A330D">
        <w:rPr>
          <w:lang w:val="en-GB"/>
        </w:rPr>
        <w:t>the flows of carbon related to these activities as being within the economy or from the economy to the environment.</w:t>
      </w:r>
    </w:p>
    <w:p w14:paraId="15C278BD" w14:textId="3811C255" w:rsidR="000A330D" w:rsidRDefault="00DE1462">
      <w:pPr>
        <w:pStyle w:val="Paragraph"/>
        <w:numPr>
          <w:ilvl w:val="0"/>
          <w:numId w:val="39"/>
        </w:numPr>
        <w:rPr>
          <w:lang w:val="en-GB"/>
        </w:rPr>
      </w:pPr>
      <w:r>
        <w:rPr>
          <w:lang w:val="en-GB"/>
        </w:rPr>
        <w:t xml:space="preserve">Carbon in the ocean should be </w:t>
      </w:r>
      <w:r w:rsidR="00FA557B">
        <w:rPr>
          <w:lang w:val="en-GB"/>
        </w:rPr>
        <w:t>&lt;&lt;</w:t>
      </w:r>
      <w:proofErr w:type="spellStart"/>
      <w:r w:rsidR="00FA557B">
        <w:rPr>
          <w:lang w:val="en-GB"/>
        </w:rPr>
        <w:t>tbd</w:t>
      </w:r>
      <w:proofErr w:type="spellEnd"/>
      <w:r w:rsidR="00FA557B">
        <w:rPr>
          <w:lang w:val="en-GB"/>
        </w:rPr>
        <w:t>&gt;&gt;</w:t>
      </w:r>
    </w:p>
    <w:p w14:paraId="52066E02" w14:textId="51A305CD" w:rsidR="000D7B87" w:rsidRDefault="00440BDD">
      <w:pPr>
        <w:pStyle w:val="Paragraph"/>
        <w:numPr>
          <w:ilvl w:val="0"/>
          <w:numId w:val="39"/>
        </w:numPr>
        <w:rPr>
          <w:lang w:val="en-GB"/>
        </w:rPr>
      </w:pPr>
      <w:r>
        <w:rPr>
          <w:lang w:val="en-GB"/>
        </w:rPr>
        <w:t xml:space="preserve">The measurement boundary for carbon in the atmosphere is to be determined </w:t>
      </w:r>
      <w:r w:rsidR="009F606B">
        <w:rPr>
          <w:lang w:val="en-GB"/>
        </w:rPr>
        <w:t>and is linked to proposals from GN D8 on the treatment of the atmosphere as an asset</w:t>
      </w:r>
    </w:p>
    <w:p w14:paraId="22960B3A" w14:textId="77777777" w:rsidR="009F606B" w:rsidRDefault="009F606B" w:rsidP="009F606B">
      <w:pPr>
        <w:pStyle w:val="Paragraph"/>
        <w:numPr>
          <w:ilvl w:val="0"/>
          <w:numId w:val="0"/>
        </w:numPr>
        <w:rPr>
          <w:lang w:val="en-GB"/>
        </w:rPr>
      </w:pPr>
    </w:p>
    <w:p w14:paraId="1B8B0C79" w14:textId="5C5BE4F4" w:rsidR="009F606B" w:rsidRDefault="0052223F" w:rsidP="00D0366D">
      <w:pPr>
        <w:pStyle w:val="Heading4"/>
        <w:numPr>
          <w:ilvl w:val="0"/>
          <w:numId w:val="0"/>
        </w:numPr>
        <w:ind w:left="17"/>
        <w:rPr>
          <w:lang w:val="en-GB"/>
        </w:rPr>
      </w:pPr>
      <w:r>
        <w:rPr>
          <w:lang w:val="en-GB"/>
        </w:rPr>
        <w:t>Structure of the carbon stock account</w:t>
      </w:r>
    </w:p>
    <w:p w14:paraId="4B7C2D02" w14:textId="2BB77CDD" w:rsidR="0052223F" w:rsidRDefault="0052223F" w:rsidP="009F606B">
      <w:pPr>
        <w:pStyle w:val="Paragraph"/>
        <w:numPr>
          <w:ilvl w:val="0"/>
          <w:numId w:val="0"/>
        </w:numPr>
        <w:rPr>
          <w:lang w:val="en-GB"/>
        </w:rPr>
      </w:pPr>
      <w:r>
        <w:rPr>
          <w:lang w:val="en-GB"/>
        </w:rPr>
        <w:t>Building on the structure of the carbon stock account</w:t>
      </w:r>
      <w:r w:rsidR="00F06C2E">
        <w:rPr>
          <w:lang w:val="en-GB"/>
        </w:rPr>
        <w:t xml:space="preserve"> in the SEEA EA, Section 5 presents an updated structure that reflects the proposed amendments to the measurement </w:t>
      </w:r>
      <w:r w:rsidR="00996EBE">
        <w:rPr>
          <w:lang w:val="en-GB"/>
        </w:rPr>
        <w:t xml:space="preserve">boundaries and </w:t>
      </w:r>
      <w:r w:rsidR="001035D4">
        <w:rPr>
          <w:lang w:val="en-GB"/>
        </w:rPr>
        <w:t xml:space="preserve">provides additional detail on the additions and reductions in stock within each </w:t>
      </w:r>
      <w:proofErr w:type="gramStart"/>
      <w:r w:rsidR="00392580">
        <w:rPr>
          <w:lang w:val="en-GB"/>
        </w:rPr>
        <w:t>reservoirs</w:t>
      </w:r>
      <w:proofErr w:type="gramEnd"/>
      <w:r w:rsidR="00392580">
        <w:rPr>
          <w:lang w:val="en-GB"/>
        </w:rPr>
        <w:t>. In addition, a carbon stock change matrix is proposed to record more explicitly the gross flows of carbon between carbon reservoirs</w:t>
      </w:r>
      <w:r w:rsidR="00456FBF">
        <w:rPr>
          <w:lang w:val="en-GB"/>
        </w:rPr>
        <w:t xml:space="preserve">. These flows </w:t>
      </w:r>
      <w:proofErr w:type="gramStart"/>
      <w:r w:rsidR="00456FBF">
        <w:rPr>
          <w:lang w:val="en-GB"/>
        </w:rPr>
        <w:t>are considered to be</w:t>
      </w:r>
      <w:proofErr w:type="gramEnd"/>
      <w:r w:rsidR="00456FBF">
        <w:rPr>
          <w:lang w:val="en-GB"/>
        </w:rPr>
        <w:t xml:space="preserve"> of most significance from a policy perspective and are likely to be more feasible to measure</w:t>
      </w:r>
      <w:r w:rsidR="004972EB">
        <w:rPr>
          <w:lang w:val="en-GB"/>
        </w:rPr>
        <w:t xml:space="preserve"> for some reservoirs, especially the atmosphere.</w:t>
      </w:r>
    </w:p>
    <w:p w14:paraId="6B16FBF6" w14:textId="77777777" w:rsidR="00D16ED8" w:rsidRDefault="00D16ED8" w:rsidP="009F606B">
      <w:pPr>
        <w:pStyle w:val="Paragraph"/>
        <w:numPr>
          <w:ilvl w:val="0"/>
          <w:numId w:val="0"/>
        </w:numPr>
        <w:rPr>
          <w:lang w:val="en-GB"/>
        </w:rPr>
      </w:pPr>
    </w:p>
    <w:p w14:paraId="2401206C" w14:textId="1998A2CB" w:rsidR="00934C32" w:rsidRDefault="00934C32" w:rsidP="00A03C76">
      <w:pPr>
        <w:pStyle w:val="Heading4"/>
        <w:numPr>
          <w:ilvl w:val="0"/>
          <w:numId w:val="0"/>
        </w:numPr>
        <w:ind w:left="17"/>
        <w:rPr>
          <w:lang w:val="en-GB"/>
        </w:rPr>
      </w:pPr>
      <w:r>
        <w:rPr>
          <w:lang w:val="en-GB"/>
        </w:rPr>
        <w:t>Connections to other accounts</w:t>
      </w:r>
    </w:p>
    <w:p w14:paraId="06075A2D" w14:textId="64E99AE5" w:rsidR="00934C32" w:rsidRDefault="00934C32" w:rsidP="009F606B">
      <w:pPr>
        <w:pStyle w:val="Paragraph"/>
        <w:numPr>
          <w:ilvl w:val="0"/>
          <w:numId w:val="0"/>
        </w:numPr>
        <w:rPr>
          <w:lang w:val="en-GB"/>
        </w:rPr>
      </w:pPr>
      <w:r>
        <w:rPr>
          <w:lang w:val="en-GB"/>
        </w:rPr>
        <w:t xml:space="preserve">The carbon stock accounts </w:t>
      </w:r>
      <w:proofErr w:type="gramStart"/>
      <w:r>
        <w:rPr>
          <w:lang w:val="en-GB"/>
        </w:rPr>
        <w:t>contains</w:t>
      </w:r>
      <w:proofErr w:type="gramEnd"/>
      <w:r>
        <w:rPr>
          <w:lang w:val="en-GB"/>
        </w:rPr>
        <w:t xml:space="preserve"> entries that are related to </w:t>
      </w:r>
      <w:proofErr w:type="gramStart"/>
      <w:r>
        <w:rPr>
          <w:lang w:val="en-GB"/>
        </w:rPr>
        <w:t>a number of</w:t>
      </w:r>
      <w:proofErr w:type="gramEnd"/>
      <w:r>
        <w:rPr>
          <w:lang w:val="en-GB"/>
        </w:rPr>
        <w:t xml:space="preserve"> other SEEA accounts, including air emission accounts, accounts for mineral and energy resources and ecosystem accounts</w:t>
      </w:r>
      <w:r w:rsidR="005C4ADC">
        <w:rPr>
          <w:lang w:val="en-GB"/>
        </w:rPr>
        <w:t xml:space="preserve">. It is proposed to include in the updated SEEA CF a short description of these connections. The carbon stock account entries are also closely linked to data </w:t>
      </w:r>
      <w:r w:rsidR="00B82CDF">
        <w:rPr>
          <w:lang w:val="en-GB"/>
        </w:rPr>
        <w:t xml:space="preserve">presented in UNFCCC reporting. It is proposed to include a correspondence table between UNFCCC entries and the carbon stock account to facilitate compilation and appropriate interpretation of indicators and aggregates. These connections </w:t>
      </w:r>
      <w:r w:rsidR="00A03C76">
        <w:rPr>
          <w:lang w:val="en-GB"/>
        </w:rPr>
        <w:t>to the SEEA accounts and UNFCCC are described in Sections 6 and 7.</w:t>
      </w:r>
    </w:p>
    <w:p w14:paraId="34AFEB7B" w14:textId="77777777" w:rsidR="00D16ED8" w:rsidRDefault="00D16ED8" w:rsidP="009F606B">
      <w:pPr>
        <w:pStyle w:val="Paragraph"/>
        <w:numPr>
          <w:ilvl w:val="0"/>
          <w:numId w:val="0"/>
        </w:numPr>
        <w:rPr>
          <w:lang w:val="en-GB"/>
        </w:rPr>
      </w:pPr>
    </w:p>
    <w:p w14:paraId="1FA7FE68" w14:textId="77777777" w:rsidR="00A03C76" w:rsidRDefault="00A03C76" w:rsidP="009F606B">
      <w:pPr>
        <w:pStyle w:val="Paragraph"/>
        <w:numPr>
          <w:ilvl w:val="0"/>
          <w:numId w:val="0"/>
        </w:numPr>
        <w:rPr>
          <w:lang w:val="en-GB"/>
        </w:rPr>
      </w:pPr>
    </w:p>
    <w:p w14:paraId="57C70E9E" w14:textId="2D56F9E8" w:rsidR="00F606A3" w:rsidRDefault="00E95B77" w:rsidP="00A03C76">
      <w:pPr>
        <w:pStyle w:val="Heading1"/>
        <w:numPr>
          <w:ilvl w:val="0"/>
          <w:numId w:val="0"/>
        </w:numPr>
        <w:ind w:left="17"/>
      </w:pPr>
      <w:bookmarkStart w:id="6" w:name="_Toc226973248"/>
      <w:bookmarkStart w:id="7" w:name="_Toc239173037"/>
      <w:r>
        <w:t xml:space="preserve">Proposed </w:t>
      </w:r>
      <w:r w:rsidR="00F606A3">
        <w:t xml:space="preserve">Questions for Global </w:t>
      </w:r>
      <w:r>
        <w:t>C</w:t>
      </w:r>
      <w:r w:rsidR="00F606A3">
        <w:t>onsultation</w:t>
      </w:r>
      <w:bookmarkEnd w:id="6"/>
      <w:bookmarkEnd w:id="7"/>
    </w:p>
    <w:p w14:paraId="5E5BD7DB" w14:textId="3CBBE7A0" w:rsidR="00645ABD" w:rsidRPr="00645ABD" w:rsidRDefault="00645ABD">
      <w:pPr>
        <w:pStyle w:val="Paragraph"/>
        <w:numPr>
          <w:ilvl w:val="0"/>
          <w:numId w:val="40"/>
        </w:numPr>
        <w:rPr>
          <w:lang w:val="en-GB"/>
        </w:rPr>
      </w:pPr>
      <w:r>
        <w:rPr>
          <w:lang w:val="en-GB"/>
        </w:rPr>
        <w:t xml:space="preserve">Do you agree that the carbon stock account should be included in the </w:t>
      </w:r>
      <w:r w:rsidR="00211906">
        <w:rPr>
          <w:lang w:val="en-GB"/>
        </w:rPr>
        <w:t>updated SEEA CF?</w:t>
      </w:r>
    </w:p>
    <w:p w14:paraId="39FE190A" w14:textId="21ED9AC6" w:rsidR="001A7399" w:rsidRPr="00FA557B" w:rsidRDefault="00ED302B">
      <w:pPr>
        <w:pStyle w:val="Paragraph"/>
        <w:numPr>
          <w:ilvl w:val="0"/>
          <w:numId w:val="40"/>
        </w:numPr>
        <w:rPr>
          <w:highlight w:val="yellow"/>
          <w:lang w:val="en-GB"/>
        </w:rPr>
      </w:pPr>
      <w:r w:rsidRPr="00ED302B">
        <w:t xml:space="preserve">Do you agree that the </w:t>
      </w:r>
      <w:r w:rsidR="001A7399" w:rsidRPr="00ED302B">
        <w:rPr>
          <w:lang w:val="en-GB"/>
        </w:rPr>
        <w:t xml:space="preserve">carbon stock </w:t>
      </w:r>
      <w:r w:rsidRPr="00ED302B">
        <w:rPr>
          <w:lang w:val="en-GB"/>
        </w:rPr>
        <w:t xml:space="preserve">should not be </w:t>
      </w:r>
      <w:r w:rsidR="001A7399" w:rsidRPr="00ED302B">
        <w:rPr>
          <w:lang w:val="en-GB"/>
        </w:rPr>
        <w:t xml:space="preserve">treated as an environmental asset in the </w:t>
      </w:r>
      <w:r w:rsidRPr="00ED302B">
        <w:rPr>
          <w:lang w:val="en-GB"/>
        </w:rPr>
        <w:t xml:space="preserve">updated </w:t>
      </w:r>
      <w:r w:rsidR="001A7399" w:rsidRPr="00ED302B">
        <w:rPr>
          <w:lang w:val="en-GB"/>
        </w:rPr>
        <w:t xml:space="preserve">SEEA CF? </w:t>
      </w:r>
      <w:r w:rsidR="00FA557B" w:rsidRPr="00FA557B">
        <w:rPr>
          <w:highlight w:val="yellow"/>
          <w:lang w:val="en-GB"/>
        </w:rPr>
        <w:t>Or</w:t>
      </w:r>
    </w:p>
    <w:p w14:paraId="6874F674" w14:textId="66BF535D" w:rsidR="00FA557B" w:rsidRDefault="00FA557B">
      <w:pPr>
        <w:pStyle w:val="Paragraph"/>
        <w:numPr>
          <w:ilvl w:val="0"/>
          <w:numId w:val="40"/>
        </w:numPr>
        <w:rPr>
          <w:lang w:val="en-GB"/>
        </w:rPr>
      </w:pPr>
      <w:r>
        <w:rPr>
          <w:lang w:val="en-GB"/>
        </w:rPr>
        <w:t>Which general treatment of the carbon stock should be preferred for the SEEA CF</w:t>
      </w:r>
    </w:p>
    <w:p w14:paraId="53073969" w14:textId="7C2A3933" w:rsidR="00FA557B" w:rsidRPr="00FA557B" w:rsidRDefault="00FA557B" w:rsidP="00200A53">
      <w:pPr>
        <w:pStyle w:val="Paragraph"/>
        <w:numPr>
          <w:ilvl w:val="1"/>
          <w:numId w:val="40"/>
        </w:numPr>
        <w:rPr>
          <w:lang w:val="en-GB"/>
        </w:rPr>
      </w:pPr>
      <w:r w:rsidRPr="00FA557B">
        <w:rPr>
          <w:lang w:val="en-GB"/>
        </w:rPr>
        <w:t xml:space="preserve"> As a physical stock but not an environmental asset (unless there is a market value for the carbon stock)</w:t>
      </w:r>
    </w:p>
    <w:p w14:paraId="31E5F090" w14:textId="0073680B" w:rsidR="00FA557B" w:rsidRDefault="00FA557B" w:rsidP="00FA557B">
      <w:pPr>
        <w:pStyle w:val="Paragraph"/>
        <w:numPr>
          <w:ilvl w:val="1"/>
          <w:numId w:val="40"/>
        </w:numPr>
        <w:rPr>
          <w:lang w:val="en-GB"/>
        </w:rPr>
      </w:pPr>
      <w:r>
        <w:rPr>
          <w:lang w:val="en-GB"/>
        </w:rPr>
        <w:t>As a new type of environmental asset</w:t>
      </w:r>
    </w:p>
    <w:p w14:paraId="3CCBD351" w14:textId="36DAA656" w:rsidR="00FA557B" w:rsidRDefault="00FA557B" w:rsidP="00FA557B">
      <w:pPr>
        <w:pStyle w:val="Paragraph"/>
        <w:numPr>
          <w:ilvl w:val="1"/>
          <w:numId w:val="40"/>
        </w:numPr>
        <w:rPr>
          <w:lang w:val="en-GB"/>
        </w:rPr>
      </w:pPr>
      <w:r>
        <w:rPr>
          <w:lang w:val="en-GB"/>
        </w:rPr>
        <w:t>Other treatments (please describe)</w:t>
      </w:r>
    </w:p>
    <w:p w14:paraId="1214DA67" w14:textId="690F9EFC" w:rsidR="00645ABD" w:rsidRDefault="00645ABD">
      <w:pPr>
        <w:pStyle w:val="Paragraph"/>
        <w:numPr>
          <w:ilvl w:val="0"/>
          <w:numId w:val="40"/>
        </w:numPr>
        <w:rPr>
          <w:lang w:val="en-GB"/>
        </w:rPr>
      </w:pPr>
      <w:r>
        <w:rPr>
          <w:lang w:val="en-GB"/>
        </w:rPr>
        <w:t>Do you agree that a carbon stock account</w:t>
      </w:r>
      <w:r w:rsidR="00FA557B">
        <w:rPr>
          <w:lang w:val="en-GB"/>
        </w:rPr>
        <w:t xml:space="preserve"> in monetary terms</w:t>
      </w:r>
      <w:r>
        <w:rPr>
          <w:lang w:val="en-GB"/>
        </w:rPr>
        <w:t xml:space="preserve"> </w:t>
      </w:r>
      <w:r w:rsidR="008D071A">
        <w:rPr>
          <w:lang w:val="en-GB"/>
        </w:rPr>
        <w:t xml:space="preserve">covering </w:t>
      </w:r>
      <w:r w:rsidR="00FA557B">
        <w:rPr>
          <w:lang w:val="en-GB"/>
        </w:rPr>
        <w:t>carbon in</w:t>
      </w:r>
      <w:r w:rsidR="008D071A">
        <w:rPr>
          <w:lang w:val="en-GB"/>
        </w:rPr>
        <w:t xml:space="preserve"> all reservoirs </w:t>
      </w:r>
      <w:r>
        <w:rPr>
          <w:lang w:val="en-GB"/>
        </w:rPr>
        <w:t>shou</w:t>
      </w:r>
      <w:r w:rsidR="00C417BE">
        <w:rPr>
          <w:lang w:val="en-GB"/>
        </w:rPr>
        <w:t>l</w:t>
      </w:r>
      <w:r>
        <w:rPr>
          <w:lang w:val="en-GB"/>
        </w:rPr>
        <w:t>d not be included in the updated SEEA CF?</w:t>
      </w:r>
    </w:p>
    <w:p w14:paraId="3DA2255F" w14:textId="64AC2BC6" w:rsidR="008D071A" w:rsidRDefault="00C71434">
      <w:pPr>
        <w:pStyle w:val="Paragraph"/>
        <w:numPr>
          <w:ilvl w:val="0"/>
          <w:numId w:val="40"/>
        </w:numPr>
        <w:rPr>
          <w:lang w:val="en-GB"/>
        </w:rPr>
      </w:pPr>
      <w:r>
        <w:rPr>
          <w:lang w:val="en-GB"/>
        </w:rPr>
        <w:t xml:space="preserve">Do you agree that </w:t>
      </w:r>
      <w:r w:rsidR="00FA557B">
        <w:rPr>
          <w:lang w:val="en-GB"/>
        </w:rPr>
        <w:t>it is appropriate to recognise an economic asset for</w:t>
      </w:r>
      <w:r w:rsidR="008D038E">
        <w:rPr>
          <w:lang w:val="en-GB"/>
        </w:rPr>
        <w:t xml:space="preserve"> </w:t>
      </w:r>
      <w:r w:rsidR="00FA557B">
        <w:rPr>
          <w:lang w:val="en-GB"/>
        </w:rPr>
        <w:t xml:space="preserve">those </w:t>
      </w:r>
      <w:r w:rsidR="008D038E">
        <w:rPr>
          <w:lang w:val="en-GB"/>
        </w:rPr>
        <w:t xml:space="preserve">carbon stocks </w:t>
      </w:r>
      <w:r w:rsidR="00FA557B">
        <w:rPr>
          <w:lang w:val="en-GB"/>
        </w:rPr>
        <w:t xml:space="preserve">that are </w:t>
      </w:r>
      <w:r>
        <w:rPr>
          <w:lang w:val="en-GB"/>
        </w:rPr>
        <w:t>directly related to markets</w:t>
      </w:r>
      <w:r w:rsidR="00F15FCE">
        <w:rPr>
          <w:lang w:val="en-GB"/>
        </w:rPr>
        <w:t xml:space="preserve"> for avoided emissions?</w:t>
      </w:r>
    </w:p>
    <w:p w14:paraId="5F15A366" w14:textId="77777777" w:rsidR="00C417BE" w:rsidRDefault="00063ED8">
      <w:pPr>
        <w:pStyle w:val="Paragraph"/>
        <w:numPr>
          <w:ilvl w:val="0"/>
          <w:numId w:val="40"/>
        </w:numPr>
        <w:rPr>
          <w:lang w:val="en-GB"/>
        </w:rPr>
      </w:pPr>
      <w:r>
        <w:rPr>
          <w:lang w:val="en-GB"/>
        </w:rPr>
        <w:t xml:space="preserve">Do you agree that the conceptual </w:t>
      </w:r>
      <w:r w:rsidR="00C417BE">
        <w:rPr>
          <w:lang w:val="en-GB"/>
        </w:rPr>
        <w:t xml:space="preserve">scope of the carbon stock account in physical terms should cover </w:t>
      </w:r>
      <w:r>
        <w:rPr>
          <w:lang w:val="en-GB"/>
        </w:rPr>
        <w:t xml:space="preserve">carbon stored in the biosphere, geosphere, the economy, the </w:t>
      </w:r>
      <w:r w:rsidR="00C417BE">
        <w:rPr>
          <w:lang w:val="en-GB"/>
        </w:rPr>
        <w:t xml:space="preserve">oceans </w:t>
      </w:r>
      <w:r>
        <w:rPr>
          <w:lang w:val="en-GB"/>
        </w:rPr>
        <w:t>and the atmosphere</w:t>
      </w:r>
      <w:r w:rsidR="00C417BE">
        <w:rPr>
          <w:lang w:val="en-GB"/>
        </w:rPr>
        <w:t>?</w:t>
      </w:r>
    </w:p>
    <w:p w14:paraId="736D56C9" w14:textId="0772EDB3" w:rsidR="001A7399" w:rsidRDefault="001A7399">
      <w:pPr>
        <w:pStyle w:val="Paragraph"/>
        <w:numPr>
          <w:ilvl w:val="0"/>
          <w:numId w:val="40"/>
        </w:numPr>
        <w:rPr>
          <w:lang w:val="en-GB"/>
        </w:rPr>
      </w:pPr>
      <w:r>
        <w:rPr>
          <w:lang w:val="en-GB"/>
        </w:rPr>
        <w:t xml:space="preserve">Do you </w:t>
      </w:r>
      <w:r w:rsidR="00063ED8">
        <w:rPr>
          <w:lang w:val="en-GB"/>
        </w:rPr>
        <w:t xml:space="preserve">agree with the proposed scope for </w:t>
      </w:r>
      <w:r>
        <w:rPr>
          <w:lang w:val="en-GB"/>
        </w:rPr>
        <w:t xml:space="preserve">measuring carbon in the economy, </w:t>
      </w:r>
      <w:proofErr w:type="gramStart"/>
      <w:r>
        <w:rPr>
          <w:lang w:val="en-GB"/>
        </w:rPr>
        <w:t>in particular concerning</w:t>
      </w:r>
      <w:proofErr w:type="gramEnd"/>
      <w:r>
        <w:rPr>
          <w:lang w:val="en-GB"/>
        </w:rPr>
        <w:t xml:space="preserve"> the </w:t>
      </w:r>
      <w:r w:rsidR="00063ED8">
        <w:rPr>
          <w:lang w:val="en-GB"/>
        </w:rPr>
        <w:t xml:space="preserve">inclusion of </w:t>
      </w:r>
      <w:r>
        <w:rPr>
          <w:lang w:val="en-GB"/>
        </w:rPr>
        <w:t>carbon stored in cultivated biological resources?</w:t>
      </w:r>
    </w:p>
    <w:p w14:paraId="49BD17ED" w14:textId="1E4DE33F" w:rsidR="004A3BDB" w:rsidRDefault="004A3BDB">
      <w:pPr>
        <w:pStyle w:val="Paragraph"/>
        <w:numPr>
          <w:ilvl w:val="0"/>
          <w:numId w:val="40"/>
        </w:numPr>
        <w:rPr>
          <w:lang w:val="en-GB"/>
        </w:rPr>
      </w:pPr>
      <w:r>
        <w:rPr>
          <w:lang w:val="en-GB"/>
        </w:rPr>
        <w:t xml:space="preserve">Do you agree that the </w:t>
      </w:r>
      <w:r w:rsidR="00981D29">
        <w:rPr>
          <w:lang w:val="en-GB"/>
        </w:rPr>
        <w:t xml:space="preserve">measurement </w:t>
      </w:r>
      <w:r>
        <w:rPr>
          <w:lang w:val="en-GB"/>
        </w:rPr>
        <w:t xml:space="preserve">scope of carbon in the oceans should </w:t>
      </w:r>
      <w:r w:rsidR="00FA557B">
        <w:rPr>
          <w:lang w:val="en-GB"/>
        </w:rPr>
        <w:t>&lt;&lt;</w:t>
      </w:r>
      <w:proofErr w:type="spellStart"/>
      <w:r w:rsidR="00FA557B">
        <w:rPr>
          <w:lang w:val="en-GB"/>
        </w:rPr>
        <w:t>tbd</w:t>
      </w:r>
      <w:proofErr w:type="spellEnd"/>
      <w:r w:rsidR="00FA557B">
        <w:rPr>
          <w:lang w:val="en-GB"/>
        </w:rPr>
        <w:t>&gt;&gt;</w:t>
      </w:r>
      <w:r w:rsidR="00985525">
        <w:rPr>
          <w:lang w:val="en-GB"/>
        </w:rPr>
        <w:t>?</w:t>
      </w:r>
      <w:r>
        <w:rPr>
          <w:lang w:val="en-GB"/>
        </w:rPr>
        <w:t xml:space="preserve"> </w:t>
      </w:r>
    </w:p>
    <w:p w14:paraId="0120DDAC" w14:textId="4A5EF574" w:rsidR="00FA557B" w:rsidRDefault="00FA557B">
      <w:pPr>
        <w:pStyle w:val="Paragraph"/>
        <w:numPr>
          <w:ilvl w:val="0"/>
          <w:numId w:val="40"/>
        </w:numPr>
        <w:rPr>
          <w:lang w:val="en-GB"/>
        </w:rPr>
      </w:pPr>
      <w:r w:rsidRPr="00FA557B">
        <w:rPr>
          <w:lang w:val="en-GB"/>
        </w:rPr>
        <w:t>Do you agree with the proposed structure of the carbon stock account</w:t>
      </w:r>
      <w:r>
        <w:rPr>
          <w:lang w:val="en-GB"/>
        </w:rPr>
        <w:t>?</w:t>
      </w:r>
    </w:p>
    <w:p w14:paraId="409A5C47" w14:textId="4FC4CB10" w:rsidR="00EE06A0" w:rsidRDefault="00EE06A0">
      <w:pPr>
        <w:pStyle w:val="Paragraph"/>
        <w:numPr>
          <w:ilvl w:val="0"/>
          <w:numId w:val="40"/>
        </w:numPr>
        <w:rPr>
          <w:lang w:val="en-GB"/>
        </w:rPr>
      </w:pPr>
      <w:r>
        <w:rPr>
          <w:lang w:val="en-GB"/>
        </w:rPr>
        <w:t xml:space="preserve">Do you agree to include </w:t>
      </w:r>
      <w:r w:rsidR="001F7B46">
        <w:rPr>
          <w:lang w:val="en-GB"/>
        </w:rPr>
        <w:t>a short description the entries in the carbon stock accounts and</w:t>
      </w:r>
      <w:r w:rsidR="008913F0">
        <w:rPr>
          <w:lang w:val="en-GB"/>
        </w:rPr>
        <w:t xml:space="preserve"> their links to </w:t>
      </w:r>
      <w:r w:rsidR="001F7B46">
        <w:rPr>
          <w:lang w:val="en-GB"/>
        </w:rPr>
        <w:t>other</w:t>
      </w:r>
      <w:r w:rsidR="008913F0">
        <w:rPr>
          <w:lang w:val="en-GB"/>
        </w:rPr>
        <w:t xml:space="preserve"> SEEA accounts and UNFCCC reporting?</w:t>
      </w:r>
    </w:p>
    <w:p w14:paraId="616975C5" w14:textId="25231537" w:rsidR="00FA557B" w:rsidRDefault="00FA557B">
      <w:pPr>
        <w:pStyle w:val="Paragraph"/>
        <w:numPr>
          <w:ilvl w:val="0"/>
          <w:numId w:val="40"/>
        </w:numPr>
        <w:rPr>
          <w:lang w:val="en-GB"/>
        </w:rPr>
      </w:pPr>
      <w:r>
        <w:rPr>
          <w:lang w:val="en-GB"/>
        </w:rPr>
        <w:t>Do you have any other comments</w:t>
      </w:r>
    </w:p>
    <w:p w14:paraId="746BE343" w14:textId="295DF923" w:rsidR="00C81F8C" w:rsidRPr="00C82447" w:rsidRDefault="00C81F8C" w:rsidP="00C81F8C">
      <w:pPr>
        <w:pStyle w:val="FranklinHeader"/>
      </w:pPr>
      <w:r>
        <w:lastRenderedPageBreak/>
        <w:t>GUIDANCE NOTE</w:t>
      </w:r>
      <w:r w:rsidR="00124C42">
        <w:t xml:space="preserve"> Issue D1: </w:t>
      </w:r>
      <w:r>
        <w:t>Carbon stock account</w:t>
      </w:r>
    </w:p>
    <w:p w14:paraId="2CBDD16B" w14:textId="1F5D80ED" w:rsidR="00C66A00" w:rsidRDefault="00275DE3" w:rsidP="00C73DE6">
      <w:pPr>
        <w:pStyle w:val="Heading1"/>
      </w:pPr>
      <w:bookmarkStart w:id="8" w:name="_Toc239173038"/>
      <w:r>
        <w:t>Background to the issue</w:t>
      </w:r>
      <w:bookmarkEnd w:id="8"/>
    </w:p>
    <w:p w14:paraId="402B7006" w14:textId="68069960" w:rsidR="00CB7285" w:rsidRDefault="009524C1" w:rsidP="00CB7285">
      <w:pPr>
        <w:pStyle w:val="Paragraph"/>
        <w:rPr>
          <w:lang w:val="en-GB"/>
        </w:rPr>
      </w:pPr>
      <w:r>
        <w:t>Th</w:t>
      </w:r>
      <w:r w:rsidR="0061681E">
        <w:t>is</w:t>
      </w:r>
      <w:r>
        <w:t xml:space="preserve"> </w:t>
      </w:r>
      <w:r w:rsidR="005E0498">
        <w:t>Guidance Note</w:t>
      </w:r>
      <w:r w:rsidR="00D5181D">
        <w:t xml:space="preserve"> (GN)</w:t>
      </w:r>
      <w:r>
        <w:t xml:space="preserve"> </w:t>
      </w:r>
      <w:r w:rsidR="005E0498">
        <w:t>outline</w:t>
      </w:r>
      <w:r w:rsidR="0061681E">
        <w:t>s</w:t>
      </w:r>
      <w:r w:rsidR="005E0498">
        <w:t xml:space="preserve"> the relevant considerations concerning </w:t>
      </w:r>
      <w:r w:rsidR="00CA6DF6">
        <w:t>SEEA C</w:t>
      </w:r>
      <w:r w:rsidR="009A39D1">
        <w:t xml:space="preserve">entral Framework (SEEA CF) </w:t>
      </w:r>
      <w:r w:rsidR="00CA6DF6">
        <w:t>update issue D1</w:t>
      </w:r>
      <w:r w:rsidR="00582E31">
        <w:t xml:space="preserve"> on the inclusion of</w:t>
      </w:r>
      <w:r w:rsidR="005E0498">
        <w:t xml:space="preserve"> a carbon stock account in the </w:t>
      </w:r>
      <w:r w:rsidR="0061681E">
        <w:t xml:space="preserve">updated </w:t>
      </w:r>
      <w:r w:rsidR="005E0498">
        <w:t xml:space="preserve">SEEA </w:t>
      </w:r>
      <w:r w:rsidR="009A39D1">
        <w:t>CF</w:t>
      </w:r>
      <w:r w:rsidR="00582E31">
        <w:t xml:space="preserve">. </w:t>
      </w:r>
      <w:r w:rsidR="00CB7285">
        <w:rPr>
          <w:lang w:val="en-GB"/>
        </w:rPr>
        <w:t xml:space="preserve">The broad proposal for consideration is whether the current content and description of a carbon stock account that is presented in </w:t>
      </w:r>
      <w:r w:rsidR="009A39D1">
        <w:rPr>
          <w:lang w:val="en-GB"/>
        </w:rPr>
        <w:t xml:space="preserve">Chapter 13 of </w:t>
      </w:r>
      <w:r w:rsidR="00CB7285">
        <w:rPr>
          <w:lang w:val="en-GB"/>
        </w:rPr>
        <w:t xml:space="preserve">the SEEA Ecosystem Accounting </w:t>
      </w:r>
      <w:r w:rsidR="009A39D1">
        <w:rPr>
          <w:lang w:val="en-GB"/>
        </w:rPr>
        <w:t xml:space="preserve">(SEEA EA) </w:t>
      </w:r>
      <w:r w:rsidR="00CB7285">
        <w:rPr>
          <w:lang w:val="en-GB"/>
        </w:rPr>
        <w:t xml:space="preserve">should be </w:t>
      </w:r>
      <w:r w:rsidR="00107836">
        <w:rPr>
          <w:lang w:val="en-GB"/>
        </w:rPr>
        <w:t xml:space="preserve">included </w:t>
      </w:r>
      <w:r w:rsidR="001C1E0A">
        <w:rPr>
          <w:lang w:val="en-GB"/>
        </w:rPr>
        <w:t>in</w:t>
      </w:r>
      <w:r w:rsidR="00CB7285">
        <w:rPr>
          <w:lang w:val="en-GB"/>
        </w:rPr>
        <w:t xml:space="preserve"> the SEEA </w:t>
      </w:r>
      <w:r w:rsidR="009A39D1">
        <w:rPr>
          <w:lang w:val="en-GB"/>
        </w:rPr>
        <w:t>CF</w:t>
      </w:r>
      <w:r w:rsidR="00E60955">
        <w:rPr>
          <w:lang w:val="en-GB"/>
        </w:rPr>
        <w:t>; a</w:t>
      </w:r>
      <w:r w:rsidR="00CB7285">
        <w:rPr>
          <w:lang w:val="en-GB"/>
        </w:rPr>
        <w:t xml:space="preserve">nd if so, what changes </w:t>
      </w:r>
      <w:r w:rsidR="00E60955">
        <w:rPr>
          <w:lang w:val="en-GB"/>
        </w:rPr>
        <w:t xml:space="preserve">to that content </w:t>
      </w:r>
      <w:r w:rsidR="00CB7285">
        <w:rPr>
          <w:lang w:val="en-GB"/>
        </w:rPr>
        <w:t>should be recommended.</w:t>
      </w:r>
    </w:p>
    <w:p w14:paraId="58691D3A" w14:textId="3F0C607E" w:rsidR="00FA557B" w:rsidRDefault="00CB7285" w:rsidP="00F928E9">
      <w:pPr>
        <w:pStyle w:val="Paragraph"/>
        <w:rPr>
          <w:lang w:val="en-GB"/>
        </w:rPr>
      </w:pPr>
      <w:r w:rsidRPr="00E60955">
        <w:rPr>
          <w:lang w:val="en-GB"/>
        </w:rPr>
        <w:t>The carbon stock account is introduced and described in detail in the SEEA EA (Section 13.4 and Annex 13.2 – content is provided in Annex 1 below).</w:t>
      </w:r>
      <w:r w:rsidR="00FA557B">
        <w:rPr>
          <w:lang w:val="en-GB"/>
        </w:rPr>
        <w:t xml:space="preserve"> In summary, a carbon stock account records the opening and closing stocks of carbon for an accounting period and the various additions and reductions in stock. Conceptually, it aims to record all stocks of carbon across different “reservoirs” including the biosphere, the geosphere, the atmosphere, the oceans and the economy. </w:t>
      </w:r>
    </w:p>
    <w:p w14:paraId="7B89A99C" w14:textId="261D3912" w:rsidR="00CB7285" w:rsidRDefault="00CB7285" w:rsidP="00F928E9">
      <w:pPr>
        <w:pStyle w:val="Paragraph"/>
        <w:rPr>
          <w:lang w:val="en-GB"/>
        </w:rPr>
      </w:pPr>
      <w:r w:rsidRPr="00E60955">
        <w:rPr>
          <w:lang w:val="en-GB"/>
        </w:rPr>
        <w:t>Th</w:t>
      </w:r>
      <w:r w:rsidR="00FA557B">
        <w:rPr>
          <w:lang w:val="en-GB"/>
        </w:rPr>
        <w:t>e</w:t>
      </w:r>
      <w:r w:rsidRPr="00E60955">
        <w:rPr>
          <w:lang w:val="en-GB"/>
        </w:rPr>
        <w:t xml:space="preserve"> </w:t>
      </w:r>
      <w:r w:rsidR="00FA557B">
        <w:rPr>
          <w:lang w:val="en-GB"/>
        </w:rPr>
        <w:t xml:space="preserve">description of the carbon stock account in the SEEA EA </w:t>
      </w:r>
      <w:r w:rsidRPr="00E60955">
        <w:rPr>
          <w:lang w:val="en-GB"/>
        </w:rPr>
        <w:t xml:space="preserve">built on initial descriptions presented in the SEEA Experimental Ecosystem Accounting (SEEA EEA) in 2013. </w:t>
      </w:r>
      <w:r w:rsidR="00E24B07">
        <w:rPr>
          <w:lang w:val="en-GB"/>
        </w:rPr>
        <w:t xml:space="preserve">These sections outline how SEEA EA can support accounting for climate change with a focus on accounting for carbon </w:t>
      </w:r>
      <w:r w:rsidR="00E24B07" w:rsidRPr="00E60955">
        <w:rPr>
          <w:lang w:val="en-GB"/>
        </w:rPr>
        <w:t xml:space="preserve">stocks </w:t>
      </w:r>
      <w:r w:rsidR="00E24B07">
        <w:rPr>
          <w:lang w:val="en-GB"/>
        </w:rPr>
        <w:t xml:space="preserve">in </w:t>
      </w:r>
      <w:r w:rsidR="00E24B07" w:rsidRPr="00E60955">
        <w:rPr>
          <w:lang w:val="en-GB"/>
        </w:rPr>
        <w:t xml:space="preserve">all carbon reservoirs, namely </w:t>
      </w:r>
      <w:r w:rsidR="00E24B07">
        <w:rPr>
          <w:lang w:val="en-GB"/>
        </w:rPr>
        <w:t>g</w:t>
      </w:r>
      <w:r w:rsidR="00E24B07" w:rsidRPr="00E60955">
        <w:rPr>
          <w:lang w:val="en-GB"/>
        </w:rPr>
        <w:t xml:space="preserve">eosphere, </w:t>
      </w:r>
      <w:r w:rsidR="00E24B07">
        <w:rPr>
          <w:lang w:val="en-GB"/>
        </w:rPr>
        <w:t>b</w:t>
      </w:r>
      <w:r w:rsidR="00E24B07" w:rsidRPr="00E60955">
        <w:rPr>
          <w:lang w:val="en-GB"/>
        </w:rPr>
        <w:t xml:space="preserve">iosphere, </w:t>
      </w:r>
      <w:r w:rsidR="00E24B07">
        <w:rPr>
          <w:lang w:val="en-GB"/>
        </w:rPr>
        <w:t>a</w:t>
      </w:r>
      <w:r w:rsidR="00E24B07" w:rsidRPr="00E60955">
        <w:rPr>
          <w:lang w:val="en-GB"/>
        </w:rPr>
        <w:t xml:space="preserve">tmosphere, </w:t>
      </w:r>
      <w:r w:rsidR="00E24B07">
        <w:rPr>
          <w:lang w:val="en-GB"/>
        </w:rPr>
        <w:t>o</w:t>
      </w:r>
      <w:r w:rsidR="00E24B07" w:rsidRPr="00E60955">
        <w:rPr>
          <w:lang w:val="en-GB"/>
        </w:rPr>
        <w:t xml:space="preserve">ceans and </w:t>
      </w:r>
      <w:r w:rsidR="00E24B07">
        <w:rPr>
          <w:lang w:val="en-GB"/>
        </w:rPr>
        <w:t>a</w:t>
      </w:r>
      <w:r w:rsidR="00E24B07" w:rsidRPr="00E60955">
        <w:rPr>
          <w:lang w:val="en-GB"/>
        </w:rPr>
        <w:t>ccumulation in the economy. The structure of the carbon stock account</w:t>
      </w:r>
      <w:r w:rsidR="00E24B07">
        <w:rPr>
          <w:lang w:val="en-GB"/>
        </w:rPr>
        <w:t xml:space="preserve"> </w:t>
      </w:r>
      <w:r w:rsidR="00E24B07" w:rsidRPr="00E60955">
        <w:rPr>
          <w:lang w:val="en-GB"/>
        </w:rPr>
        <w:t xml:space="preserve">follows the structure of an asset account as described in </w:t>
      </w:r>
      <w:r w:rsidR="00E24B07">
        <w:rPr>
          <w:lang w:val="en-GB"/>
        </w:rPr>
        <w:t xml:space="preserve">Chapter 2 of </w:t>
      </w:r>
      <w:r w:rsidR="00E24B07" w:rsidRPr="00E60955">
        <w:rPr>
          <w:lang w:val="en-GB"/>
        </w:rPr>
        <w:t xml:space="preserve">the </w:t>
      </w:r>
      <w:r w:rsidR="00E24B07">
        <w:rPr>
          <w:lang w:val="en-GB"/>
        </w:rPr>
        <w:t xml:space="preserve">2012 </w:t>
      </w:r>
      <w:r w:rsidR="00E24B07" w:rsidRPr="00E60955">
        <w:rPr>
          <w:lang w:val="en-GB"/>
        </w:rPr>
        <w:t xml:space="preserve">SEEA </w:t>
      </w:r>
      <w:r w:rsidR="00E24B07">
        <w:rPr>
          <w:lang w:val="en-GB"/>
        </w:rPr>
        <w:t>CF however, the carbon stock account itself has not been adopted as a statistical standard.</w:t>
      </w:r>
    </w:p>
    <w:p w14:paraId="6B3CCE0A" w14:textId="4F67C4B2" w:rsidR="00CB7285" w:rsidRDefault="00CB7285" w:rsidP="00CB7285">
      <w:pPr>
        <w:pStyle w:val="Paragraph"/>
        <w:rPr>
          <w:lang w:val="en-GB"/>
        </w:rPr>
      </w:pPr>
      <w:r>
        <w:rPr>
          <w:lang w:val="en-GB"/>
        </w:rPr>
        <w:t xml:space="preserve">There are close links between the data recorded in carbon stock accounts and </w:t>
      </w:r>
      <w:r w:rsidR="000334B0">
        <w:rPr>
          <w:lang w:val="en-GB"/>
        </w:rPr>
        <w:t xml:space="preserve">the compilation of </w:t>
      </w:r>
      <w:r>
        <w:rPr>
          <w:lang w:val="en-GB"/>
        </w:rPr>
        <w:t>ecosystem accounts, for example in the measurement of ecosystem condition</w:t>
      </w:r>
      <w:r w:rsidR="000334B0">
        <w:rPr>
          <w:lang w:val="en-GB"/>
        </w:rPr>
        <w:t xml:space="preserve"> (e.g. using data on soil organic carbon</w:t>
      </w:r>
      <w:r w:rsidR="00360996">
        <w:rPr>
          <w:lang w:val="en-GB"/>
        </w:rPr>
        <w:t xml:space="preserve"> and vegetation</w:t>
      </w:r>
      <w:r w:rsidR="000334B0">
        <w:rPr>
          <w:lang w:val="en-GB"/>
        </w:rPr>
        <w:t>)</w:t>
      </w:r>
      <w:r>
        <w:rPr>
          <w:lang w:val="en-GB"/>
        </w:rPr>
        <w:t xml:space="preserve"> and the measurement of global climate regulation services</w:t>
      </w:r>
      <w:r w:rsidR="000334B0">
        <w:rPr>
          <w:lang w:val="en-GB"/>
        </w:rPr>
        <w:t xml:space="preserve"> using data on carbon sequestration and storage</w:t>
      </w:r>
      <w:r>
        <w:rPr>
          <w:lang w:val="en-GB"/>
        </w:rPr>
        <w:t xml:space="preserve">. In the implementation of </w:t>
      </w:r>
      <w:r w:rsidR="008E7598">
        <w:rPr>
          <w:lang w:val="en-GB"/>
        </w:rPr>
        <w:t>SEEA EA</w:t>
      </w:r>
      <w:r w:rsidR="00282202">
        <w:rPr>
          <w:lang w:val="en-GB"/>
        </w:rPr>
        <w:t xml:space="preserve"> and carbon stock accounting</w:t>
      </w:r>
      <w:r>
        <w:rPr>
          <w:lang w:val="en-GB"/>
        </w:rPr>
        <w:t xml:space="preserve"> the primary focus has been on measuring the carbon stock in the biosphere.</w:t>
      </w:r>
    </w:p>
    <w:p w14:paraId="16B945F4" w14:textId="2EFC062F" w:rsidR="00CB7285" w:rsidRDefault="00CB7285" w:rsidP="00CB7285">
      <w:pPr>
        <w:pStyle w:val="Paragraph"/>
        <w:rPr>
          <w:lang w:val="en-GB"/>
        </w:rPr>
      </w:pPr>
      <w:r>
        <w:rPr>
          <w:lang w:val="en-GB"/>
        </w:rPr>
        <w:t xml:space="preserve">Accounting for carbon stocks </w:t>
      </w:r>
      <w:r w:rsidR="008E7598">
        <w:rPr>
          <w:lang w:val="en-GB"/>
        </w:rPr>
        <w:t>is also recognised in</w:t>
      </w:r>
      <w:r>
        <w:rPr>
          <w:lang w:val="en-GB"/>
        </w:rPr>
        <w:t xml:space="preserve"> the </w:t>
      </w:r>
      <w:r w:rsidR="003D3EC2">
        <w:rPr>
          <w:lang w:val="en-GB"/>
        </w:rPr>
        <w:t xml:space="preserve">2012 </w:t>
      </w:r>
      <w:r>
        <w:rPr>
          <w:lang w:val="en-GB"/>
        </w:rPr>
        <w:t xml:space="preserve">SEEA </w:t>
      </w:r>
      <w:r w:rsidR="008E7598">
        <w:rPr>
          <w:lang w:val="en-GB"/>
        </w:rPr>
        <w:t>CF</w:t>
      </w:r>
      <w:r w:rsidR="003D3EC2">
        <w:rPr>
          <w:lang w:val="en-GB"/>
        </w:rPr>
        <w:t>. S</w:t>
      </w:r>
      <w:r>
        <w:rPr>
          <w:lang w:val="en-GB"/>
        </w:rPr>
        <w:t xml:space="preserve">ection 5.8.5 </w:t>
      </w:r>
      <w:r w:rsidR="003D3EC2">
        <w:rPr>
          <w:lang w:val="en-GB"/>
        </w:rPr>
        <w:t xml:space="preserve">has a short description of </w:t>
      </w:r>
      <w:r>
        <w:rPr>
          <w:lang w:val="en-GB"/>
        </w:rPr>
        <w:t xml:space="preserve">“carbon accounts for timber resources” that </w:t>
      </w:r>
      <w:r w:rsidR="003D3EC2">
        <w:rPr>
          <w:lang w:val="en-GB"/>
        </w:rPr>
        <w:t>record</w:t>
      </w:r>
      <w:r w:rsidR="00F551CE">
        <w:rPr>
          <w:lang w:val="en-GB"/>
        </w:rPr>
        <w:t xml:space="preserve"> </w:t>
      </w:r>
      <w:r>
        <w:rPr>
          <w:lang w:val="en-GB"/>
        </w:rPr>
        <w:t xml:space="preserve">the connection between measuring the stock of timber resources and measuring the stock of carbon in forests. </w:t>
      </w:r>
      <w:r w:rsidR="00FA557B">
        <w:rPr>
          <w:lang w:val="en-GB"/>
        </w:rPr>
        <w:t xml:space="preserve">This discussion is limited to the potential to measures stocks of carbon in forests by using appropriate factors multiplied by the quantity of timber resources. </w:t>
      </w:r>
    </w:p>
    <w:p w14:paraId="57EFC3D0" w14:textId="030BE5CD" w:rsidR="00C34308" w:rsidRDefault="00316400" w:rsidP="00C34308">
      <w:pPr>
        <w:pStyle w:val="Paragraph"/>
        <w:rPr>
          <w:lang w:val="en-GB"/>
        </w:rPr>
      </w:pPr>
      <w:r>
        <w:rPr>
          <w:lang w:val="en-GB"/>
        </w:rPr>
        <w:t>From a user perspective, c</w:t>
      </w:r>
      <w:r w:rsidR="00C34308">
        <w:rPr>
          <w:lang w:val="en-GB"/>
        </w:rPr>
        <w:t xml:space="preserve">omprehensive and coherent measurement of carbon stocks and changes in those stocks </w:t>
      </w:r>
      <w:r w:rsidR="00F551CE">
        <w:rPr>
          <w:lang w:val="en-GB"/>
        </w:rPr>
        <w:t xml:space="preserve">is </w:t>
      </w:r>
      <w:r w:rsidR="00C34308">
        <w:rPr>
          <w:lang w:val="en-GB"/>
        </w:rPr>
        <w:t>of significant interest in many policy and analytical contexts, particularly in relation to climate change. More coherent measurement would support more robust derivation of</w:t>
      </w:r>
      <w:r>
        <w:rPr>
          <w:lang w:val="en-GB"/>
        </w:rPr>
        <w:t xml:space="preserve"> relevant</w:t>
      </w:r>
      <w:r w:rsidR="00C34308">
        <w:rPr>
          <w:lang w:val="en-GB"/>
        </w:rPr>
        <w:t xml:space="preserve"> indicators.</w:t>
      </w:r>
    </w:p>
    <w:p w14:paraId="5D5DD182" w14:textId="0ACA5807" w:rsidR="00E60955" w:rsidRDefault="00C34308" w:rsidP="00C34308">
      <w:pPr>
        <w:pStyle w:val="Paragraph"/>
        <w:rPr>
          <w:lang w:val="en-GB"/>
        </w:rPr>
      </w:pPr>
      <w:r w:rsidRPr="00860931">
        <w:rPr>
          <w:lang w:val="en-GB"/>
        </w:rPr>
        <w:t xml:space="preserve">From an accounting perspective, while there are clear links between the measurement of carbon and the measurement of ecosystems, the measurement and recording of carbon stocks </w:t>
      </w:r>
      <w:r>
        <w:rPr>
          <w:lang w:val="en-GB"/>
        </w:rPr>
        <w:t xml:space="preserve">using </w:t>
      </w:r>
      <w:r w:rsidR="00BE24A8">
        <w:rPr>
          <w:lang w:val="en-GB"/>
        </w:rPr>
        <w:t>an</w:t>
      </w:r>
      <w:r>
        <w:rPr>
          <w:lang w:val="en-GB"/>
        </w:rPr>
        <w:t xml:space="preserve"> asset account structure </w:t>
      </w:r>
      <w:r w:rsidR="00BC60A3">
        <w:rPr>
          <w:lang w:val="en-GB"/>
        </w:rPr>
        <w:t xml:space="preserve">is the same in accounting terms </w:t>
      </w:r>
      <w:r w:rsidR="000F13A0">
        <w:rPr>
          <w:lang w:val="en-GB"/>
        </w:rPr>
        <w:t xml:space="preserve">as accounting for individual </w:t>
      </w:r>
      <w:r w:rsidR="000F13A0">
        <w:rPr>
          <w:lang w:val="en-GB"/>
        </w:rPr>
        <w:lastRenderedPageBreak/>
        <w:t>environmental assets such as water</w:t>
      </w:r>
      <w:r w:rsidR="00001D2E">
        <w:rPr>
          <w:lang w:val="en-GB"/>
        </w:rPr>
        <w:t xml:space="preserve"> and mineral resources as</w:t>
      </w:r>
      <w:r w:rsidRPr="00860931">
        <w:rPr>
          <w:lang w:val="en-GB"/>
        </w:rPr>
        <w:t xml:space="preserve"> described in the SEEA Central Framework. </w:t>
      </w:r>
    </w:p>
    <w:p w14:paraId="2437D86F" w14:textId="47DAE170" w:rsidR="00C34308" w:rsidRDefault="00C34308" w:rsidP="00C34308">
      <w:pPr>
        <w:pStyle w:val="Paragraph"/>
        <w:rPr>
          <w:lang w:val="en-GB"/>
        </w:rPr>
      </w:pPr>
      <w:r w:rsidRPr="00860931">
        <w:rPr>
          <w:lang w:val="en-GB"/>
        </w:rPr>
        <w:t xml:space="preserve">Thus, a carbon stock </w:t>
      </w:r>
      <w:r w:rsidR="00001D2E">
        <w:rPr>
          <w:lang w:val="en-GB"/>
        </w:rPr>
        <w:t xml:space="preserve">account </w:t>
      </w:r>
      <w:r>
        <w:rPr>
          <w:lang w:val="en-GB"/>
        </w:rPr>
        <w:t>may</w:t>
      </w:r>
      <w:r w:rsidRPr="00860931">
        <w:rPr>
          <w:lang w:val="en-GB"/>
        </w:rPr>
        <w:t xml:space="preserve"> be considered a SEEA Central Framework type of </w:t>
      </w:r>
      <w:r w:rsidR="003528B0">
        <w:rPr>
          <w:lang w:val="en-GB"/>
        </w:rPr>
        <w:t xml:space="preserve">asset </w:t>
      </w:r>
      <w:r w:rsidRPr="00860931">
        <w:rPr>
          <w:lang w:val="en-GB"/>
        </w:rPr>
        <w:t>account rather than a type of ecosystem account</w:t>
      </w:r>
      <w:r>
        <w:rPr>
          <w:lang w:val="en-GB"/>
        </w:rPr>
        <w:t xml:space="preserve"> since </w:t>
      </w:r>
      <w:r w:rsidR="00014C80">
        <w:rPr>
          <w:lang w:val="en-GB"/>
        </w:rPr>
        <w:t xml:space="preserve">the </w:t>
      </w:r>
      <w:r>
        <w:rPr>
          <w:lang w:val="en-GB"/>
        </w:rPr>
        <w:t>carbon</w:t>
      </w:r>
      <w:r w:rsidR="00014C80">
        <w:rPr>
          <w:lang w:val="en-GB"/>
        </w:rPr>
        <w:t xml:space="preserve"> stock</w:t>
      </w:r>
      <w:r>
        <w:rPr>
          <w:lang w:val="en-GB"/>
        </w:rPr>
        <w:t xml:space="preserve"> itself is not an ecosystem asset</w:t>
      </w:r>
      <w:r w:rsidR="00014C80">
        <w:rPr>
          <w:lang w:val="en-GB"/>
        </w:rPr>
        <w:t xml:space="preserve"> (i.e. a space characterised by a distinct set of biotic and abiotic components)</w:t>
      </w:r>
      <w:r w:rsidR="001B53E3">
        <w:rPr>
          <w:lang w:val="en-GB"/>
        </w:rPr>
        <w:t xml:space="preserve">. </w:t>
      </w:r>
      <w:r w:rsidRPr="00860931">
        <w:rPr>
          <w:lang w:val="en-GB"/>
        </w:rPr>
        <w:t xml:space="preserve">In addition, the </w:t>
      </w:r>
      <w:r w:rsidR="005B4D15">
        <w:rPr>
          <w:lang w:val="en-GB"/>
        </w:rPr>
        <w:t xml:space="preserve">intended </w:t>
      </w:r>
      <w:r w:rsidRPr="00860931">
        <w:rPr>
          <w:lang w:val="en-GB"/>
        </w:rPr>
        <w:t xml:space="preserve">scope of a carbon </w:t>
      </w:r>
      <w:r>
        <w:rPr>
          <w:lang w:val="en-GB"/>
        </w:rPr>
        <w:t xml:space="preserve">stock </w:t>
      </w:r>
      <w:r w:rsidRPr="00860931">
        <w:rPr>
          <w:lang w:val="en-GB"/>
        </w:rPr>
        <w:t xml:space="preserve">account extends beyond </w:t>
      </w:r>
      <w:r w:rsidR="001E319F">
        <w:rPr>
          <w:lang w:val="en-GB"/>
        </w:rPr>
        <w:t xml:space="preserve">the </w:t>
      </w:r>
      <w:r w:rsidRPr="00860931">
        <w:rPr>
          <w:lang w:val="en-GB"/>
        </w:rPr>
        <w:t>carbon in ecosystems</w:t>
      </w:r>
      <w:r>
        <w:rPr>
          <w:lang w:val="en-GB"/>
        </w:rPr>
        <w:t xml:space="preserve"> and includes stocks of carbon in the economy</w:t>
      </w:r>
      <w:r w:rsidR="00A56B24">
        <w:rPr>
          <w:lang w:val="en-GB"/>
        </w:rPr>
        <w:t>,</w:t>
      </w:r>
      <w:r>
        <w:rPr>
          <w:lang w:val="en-GB"/>
        </w:rPr>
        <w:t xml:space="preserve"> in fossil fuel resources</w:t>
      </w:r>
      <w:r w:rsidR="00A56B24">
        <w:rPr>
          <w:lang w:val="en-GB"/>
        </w:rPr>
        <w:t xml:space="preserve"> and </w:t>
      </w:r>
      <w:r w:rsidR="007C7628">
        <w:rPr>
          <w:lang w:val="en-GB"/>
        </w:rPr>
        <w:t xml:space="preserve">in </w:t>
      </w:r>
      <w:r w:rsidR="00A56B24">
        <w:rPr>
          <w:lang w:val="en-GB"/>
        </w:rPr>
        <w:t>other reservoirs</w:t>
      </w:r>
      <w:r>
        <w:rPr>
          <w:lang w:val="en-GB"/>
        </w:rPr>
        <w:t xml:space="preserve"> that are beyond the scope of ecosystem accounting.</w:t>
      </w:r>
      <w:r w:rsidRPr="00860931">
        <w:rPr>
          <w:lang w:val="en-GB"/>
        </w:rPr>
        <w:t xml:space="preserve"> </w:t>
      </w:r>
    </w:p>
    <w:p w14:paraId="3BC16A87" w14:textId="3962529A" w:rsidR="00A0621C" w:rsidRDefault="00CB4136" w:rsidP="00C34308">
      <w:pPr>
        <w:pStyle w:val="Paragraph"/>
        <w:rPr>
          <w:lang w:val="en-GB"/>
        </w:rPr>
      </w:pPr>
      <w:r>
        <w:rPr>
          <w:lang w:val="en-GB"/>
        </w:rPr>
        <w:t xml:space="preserve">If the proposal to include the carbon stock account in the SEEA CF is </w:t>
      </w:r>
      <w:r w:rsidR="00DF28EB">
        <w:rPr>
          <w:lang w:val="en-GB"/>
        </w:rPr>
        <w:t>accepted, t</w:t>
      </w:r>
      <w:r w:rsidR="00CD7C4B">
        <w:rPr>
          <w:lang w:val="en-GB"/>
        </w:rPr>
        <w:t xml:space="preserve">here remains a clear rationale for maintaining the </w:t>
      </w:r>
      <w:r w:rsidR="00DF28EB">
        <w:rPr>
          <w:lang w:val="en-GB"/>
        </w:rPr>
        <w:t xml:space="preserve">close </w:t>
      </w:r>
      <w:r w:rsidR="00CD7C4B">
        <w:rPr>
          <w:lang w:val="en-GB"/>
        </w:rPr>
        <w:t xml:space="preserve">connection between carbon stock accounts and spatially explicit </w:t>
      </w:r>
      <w:r w:rsidR="00711C88">
        <w:rPr>
          <w:lang w:val="en-GB"/>
        </w:rPr>
        <w:t>accounts for ecosystem extent</w:t>
      </w:r>
      <w:r w:rsidR="00DF28EB">
        <w:rPr>
          <w:lang w:val="en-GB"/>
        </w:rPr>
        <w:t xml:space="preserve">, </w:t>
      </w:r>
      <w:r w:rsidR="00711C88">
        <w:rPr>
          <w:lang w:val="en-GB"/>
        </w:rPr>
        <w:t>condition</w:t>
      </w:r>
      <w:r w:rsidR="00DF28EB">
        <w:rPr>
          <w:lang w:val="en-GB"/>
        </w:rPr>
        <w:t xml:space="preserve"> and services</w:t>
      </w:r>
      <w:r w:rsidR="00711C88">
        <w:rPr>
          <w:lang w:val="en-GB"/>
        </w:rPr>
        <w:t xml:space="preserve"> through consistent use of classifications and measurement frameworks (e.g. the ecosystem condition typology).</w:t>
      </w:r>
      <w:r w:rsidR="004A2EBA">
        <w:rPr>
          <w:lang w:val="en-GB"/>
        </w:rPr>
        <w:t xml:space="preserve"> </w:t>
      </w:r>
      <w:r w:rsidR="005378D2">
        <w:rPr>
          <w:lang w:val="en-GB"/>
        </w:rPr>
        <w:t xml:space="preserve">Given the range of potential connections, a description of them is </w:t>
      </w:r>
      <w:r w:rsidR="005378D2" w:rsidRPr="00EE59A5">
        <w:rPr>
          <w:lang w:val="en-GB"/>
        </w:rPr>
        <w:t>provided in Section 2.</w:t>
      </w:r>
      <w:r w:rsidR="00C4359C">
        <w:rPr>
          <w:lang w:val="en-GB"/>
        </w:rPr>
        <w:t>6</w:t>
      </w:r>
      <w:r w:rsidR="005378D2">
        <w:rPr>
          <w:lang w:val="en-GB"/>
        </w:rPr>
        <w:t>.</w:t>
      </w:r>
    </w:p>
    <w:p w14:paraId="5F0D90ED" w14:textId="77777777" w:rsidR="000E5C32" w:rsidRDefault="000E5C32" w:rsidP="000E5C32">
      <w:pPr>
        <w:pStyle w:val="Paragraph"/>
        <w:rPr>
          <w:lang w:val="en-GB"/>
        </w:rPr>
      </w:pPr>
      <w:r>
        <w:rPr>
          <w:lang w:val="en-GB"/>
        </w:rPr>
        <w:t>There is general agreement that the compilation of a carbon stock account in physical</w:t>
      </w:r>
      <w:r w:rsidRPr="00070D33">
        <w:rPr>
          <w:lang w:val="en-GB"/>
        </w:rPr>
        <w:t xml:space="preserve"> </w:t>
      </w:r>
      <w:r>
        <w:rPr>
          <w:lang w:val="en-GB"/>
        </w:rPr>
        <w:t xml:space="preserve">terms is appropriate and none of the following discussion is intended to suggest that the advice in the SEEA EA is inappropriate or incorrect. Thus, countries are encouraged to compile carbon stock accounts in physical terms. </w:t>
      </w:r>
    </w:p>
    <w:p w14:paraId="2D3B5F11" w14:textId="77777777" w:rsidR="001E0A82" w:rsidRDefault="000E5C32" w:rsidP="000C4517">
      <w:pPr>
        <w:pStyle w:val="Paragraph"/>
        <w:rPr>
          <w:lang w:val="en-GB"/>
        </w:rPr>
      </w:pPr>
      <w:r>
        <w:rPr>
          <w:lang w:val="en-GB"/>
        </w:rPr>
        <w:t>However, d</w:t>
      </w:r>
      <w:r w:rsidR="000C4517" w:rsidRPr="00070D33">
        <w:rPr>
          <w:lang w:val="en-GB"/>
        </w:rPr>
        <w:t>iscussion of the proposal to include a carbon stock account in the SEEA CF has drawn out a range of different opinions and considerations</w:t>
      </w:r>
      <w:r w:rsidR="003E2A33">
        <w:rPr>
          <w:lang w:val="en-GB"/>
        </w:rPr>
        <w:t xml:space="preserve"> that were not considered in the development of the SEEA EA</w:t>
      </w:r>
      <w:r w:rsidR="000C4517" w:rsidRPr="00070D33">
        <w:rPr>
          <w:lang w:val="en-GB"/>
        </w:rPr>
        <w:t>. The</w:t>
      </w:r>
      <w:r w:rsidR="000C4517">
        <w:rPr>
          <w:lang w:val="en-GB"/>
        </w:rPr>
        <w:t xml:space="preserve"> primary</w:t>
      </w:r>
      <w:r w:rsidR="000C4517" w:rsidRPr="00070D33">
        <w:rPr>
          <w:lang w:val="en-GB"/>
        </w:rPr>
        <w:t xml:space="preserve"> </w:t>
      </w:r>
      <w:r w:rsidR="00DA0F9A">
        <w:rPr>
          <w:lang w:val="en-GB"/>
        </w:rPr>
        <w:t xml:space="preserve">conceptual </w:t>
      </w:r>
      <w:r w:rsidR="000C3196">
        <w:rPr>
          <w:lang w:val="en-GB"/>
        </w:rPr>
        <w:t>questions are (</w:t>
      </w:r>
      <w:proofErr w:type="spellStart"/>
      <w:r w:rsidR="000C3196">
        <w:rPr>
          <w:lang w:val="en-GB"/>
        </w:rPr>
        <w:t>i</w:t>
      </w:r>
      <w:proofErr w:type="spellEnd"/>
      <w:r w:rsidR="000C3196">
        <w:rPr>
          <w:lang w:val="en-GB"/>
        </w:rPr>
        <w:t xml:space="preserve">) </w:t>
      </w:r>
      <w:r w:rsidR="000C4517" w:rsidRPr="00070D33">
        <w:rPr>
          <w:lang w:val="en-GB"/>
        </w:rPr>
        <w:t>whether the carbon stock can be considered an environmental asset</w:t>
      </w:r>
      <w:r w:rsidR="000C3196">
        <w:rPr>
          <w:lang w:val="en-GB"/>
        </w:rPr>
        <w:t>;</w:t>
      </w:r>
      <w:r w:rsidR="003E2A33">
        <w:rPr>
          <w:lang w:val="en-GB"/>
        </w:rPr>
        <w:t xml:space="preserve"> </w:t>
      </w:r>
      <w:r w:rsidR="000C4517" w:rsidRPr="00070D33">
        <w:rPr>
          <w:lang w:val="en-GB"/>
        </w:rPr>
        <w:t xml:space="preserve">and </w:t>
      </w:r>
      <w:r w:rsidR="000C3196">
        <w:rPr>
          <w:lang w:val="en-GB"/>
        </w:rPr>
        <w:t xml:space="preserve">(ii) </w:t>
      </w:r>
      <w:r w:rsidR="000C4517" w:rsidRPr="00070D33">
        <w:rPr>
          <w:lang w:val="en-GB"/>
        </w:rPr>
        <w:t xml:space="preserve">whether it is appropriate to develop a carbon stock account in monetary terms. </w:t>
      </w:r>
    </w:p>
    <w:p w14:paraId="065843F8" w14:textId="6CFACCFC" w:rsidR="00BF1588" w:rsidRPr="00070D33" w:rsidRDefault="00DA0F9A" w:rsidP="00BF1588">
      <w:pPr>
        <w:pStyle w:val="Paragraph"/>
        <w:rPr>
          <w:lang w:val="en-GB"/>
        </w:rPr>
      </w:pPr>
      <w:r w:rsidRPr="001E0A82">
        <w:rPr>
          <w:lang w:val="en-GB"/>
        </w:rPr>
        <w:t xml:space="preserve">The </w:t>
      </w:r>
      <w:r w:rsidR="000E5C32" w:rsidRPr="001E0A82">
        <w:rPr>
          <w:lang w:val="en-GB"/>
        </w:rPr>
        <w:t xml:space="preserve">overall </w:t>
      </w:r>
      <w:r w:rsidRPr="001E0A82">
        <w:rPr>
          <w:lang w:val="en-GB"/>
        </w:rPr>
        <w:t xml:space="preserve">practical question is </w:t>
      </w:r>
      <w:r w:rsidR="003E2A33" w:rsidRPr="001E0A82">
        <w:rPr>
          <w:lang w:val="en-GB"/>
        </w:rPr>
        <w:t>whether it is more appropriate to describe the carbon stock account in the SEEA EA</w:t>
      </w:r>
      <w:r w:rsidRPr="001E0A82">
        <w:rPr>
          <w:lang w:val="en-GB"/>
        </w:rPr>
        <w:t xml:space="preserve"> or the SEEA CF.</w:t>
      </w:r>
      <w:r w:rsidR="001E0A82" w:rsidRPr="001E0A82">
        <w:rPr>
          <w:lang w:val="en-GB"/>
        </w:rPr>
        <w:t xml:space="preserve"> On this question</w:t>
      </w:r>
      <w:r w:rsidR="001E0A82">
        <w:rPr>
          <w:lang w:val="en-GB"/>
        </w:rPr>
        <w:t>,</w:t>
      </w:r>
      <w:r w:rsidR="001E0A82" w:rsidRPr="001E0A82">
        <w:rPr>
          <w:lang w:val="en-GB"/>
        </w:rPr>
        <w:t xml:space="preserve"> </w:t>
      </w:r>
      <w:r w:rsidR="000C4517" w:rsidRPr="001E0A82">
        <w:rPr>
          <w:lang w:val="en-GB"/>
        </w:rPr>
        <w:t xml:space="preserve">the </w:t>
      </w:r>
      <w:r w:rsidR="00A15C1A">
        <w:rPr>
          <w:lang w:val="en-GB"/>
        </w:rPr>
        <w:t xml:space="preserve">GN </w:t>
      </w:r>
      <w:r w:rsidR="000C4517" w:rsidRPr="001E0A82">
        <w:rPr>
          <w:lang w:val="en-GB"/>
        </w:rPr>
        <w:t>focuse</w:t>
      </w:r>
      <w:r w:rsidR="00A15C1A">
        <w:rPr>
          <w:lang w:val="en-GB"/>
        </w:rPr>
        <w:t>s</w:t>
      </w:r>
      <w:r w:rsidR="000C4517" w:rsidRPr="001E0A82">
        <w:rPr>
          <w:lang w:val="en-GB"/>
        </w:rPr>
        <w:t xml:space="preserve"> on the </w:t>
      </w:r>
      <w:r w:rsidR="004F63AD">
        <w:rPr>
          <w:lang w:val="en-GB"/>
        </w:rPr>
        <w:t xml:space="preserve">options </w:t>
      </w:r>
      <w:r w:rsidR="000C4517" w:rsidRPr="001E0A82">
        <w:rPr>
          <w:lang w:val="en-GB"/>
        </w:rPr>
        <w:t>for including carbon stock accounts in the SEEA CF</w:t>
      </w:r>
      <w:r w:rsidR="004F63AD">
        <w:rPr>
          <w:lang w:val="en-GB"/>
        </w:rPr>
        <w:t xml:space="preserve"> including relevant clarifications and amendments to the text in the SEEA EA. </w:t>
      </w:r>
      <w:r w:rsidR="001201CE">
        <w:rPr>
          <w:lang w:val="en-GB"/>
        </w:rPr>
        <w:t>If it is concluded that a carbon stock account should not be included</w:t>
      </w:r>
      <w:r w:rsidR="000C4517" w:rsidRPr="001E0A82">
        <w:rPr>
          <w:lang w:val="en-GB"/>
        </w:rPr>
        <w:t xml:space="preserve"> </w:t>
      </w:r>
      <w:r w:rsidR="001201CE">
        <w:rPr>
          <w:lang w:val="en-GB"/>
        </w:rPr>
        <w:t xml:space="preserve">in the updated </w:t>
      </w:r>
      <w:r w:rsidR="00BF1588">
        <w:rPr>
          <w:lang w:val="en-GB"/>
        </w:rPr>
        <w:t>SEEA CF, it would be possible to examine options for updating and expanding the content in the SEEA EA in complementary guidance</w:t>
      </w:r>
      <w:r w:rsidR="00BF1588" w:rsidRPr="001E0A82">
        <w:rPr>
          <w:lang w:val="en-GB"/>
        </w:rPr>
        <w:t xml:space="preserve"> </w:t>
      </w:r>
      <w:r w:rsidR="00BF1588">
        <w:rPr>
          <w:lang w:val="en-GB"/>
        </w:rPr>
        <w:t xml:space="preserve">but how this might be taken forward is not considered further here. </w:t>
      </w:r>
    </w:p>
    <w:p w14:paraId="096850BB" w14:textId="4979E0AE" w:rsidR="000C4517" w:rsidRDefault="00BF1588" w:rsidP="000C4517">
      <w:pPr>
        <w:pStyle w:val="Paragraph"/>
        <w:rPr>
          <w:lang w:val="en-GB"/>
        </w:rPr>
      </w:pPr>
      <w:r>
        <w:rPr>
          <w:lang w:val="en-GB"/>
        </w:rPr>
        <w:t>Thus, t</w:t>
      </w:r>
      <w:r w:rsidR="000C4517">
        <w:rPr>
          <w:lang w:val="en-GB"/>
        </w:rPr>
        <w:t xml:space="preserve">he </w:t>
      </w:r>
      <w:r>
        <w:rPr>
          <w:lang w:val="en-GB"/>
        </w:rPr>
        <w:t>GN</w:t>
      </w:r>
      <w:r w:rsidR="000C4517">
        <w:rPr>
          <w:lang w:val="en-GB"/>
        </w:rPr>
        <w:t xml:space="preserve"> considers a perspective in which carbon stock accounts may be included in the SEEA CF. To the extent that the conclusion from discussing these issues is that no changes to the SEEA CF should be made then the alternative</w:t>
      </w:r>
      <w:r w:rsidR="0060725E">
        <w:rPr>
          <w:lang w:val="en-GB"/>
        </w:rPr>
        <w:t xml:space="preserve"> of updating the SEEA EA guidance </w:t>
      </w:r>
      <w:r w:rsidR="000C4517">
        <w:rPr>
          <w:lang w:val="en-GB"/>
        </w:rPr>
        <w:t xml:space="preserve">can be considered. </w:t>
      </w:r>
    </w:p>
    <w:p w14:paraId="7C8AA8C0" w14:textId="7E59AA40" w:rsidR="00D5181D" w:rsidRDefault="00D5181D" w:rsidP="00C34308">
      <w:pPr>
        <w:pStyle w:val="Paragraph"/>
        <w:rPr>
          <w:lang w:val="en-GB"/>
        </w:rPr>
      </w:pPr>
      <w:r>
        <w:rPr>
          <w:lang w:val="en-GB"/>
        </w:rPr>
        <w:t xml:space="preserve">In this context the following </w:t>
      </w:r>
      <w:r w:rsidR="004D4A99">
        <w:rPr>
          <w:lang w:val="en-GB"/>
        </w:rPr>
        <w:t>topics</w:t>
      </w:r>
      <w:r>
        <w:rPr>
          <w:lang w:val="en-GB"/>
        </w:rPr>
        <w:t xml:space="preserve"> are discussed in this GN:</w:t>
      </w:r>
    </w:p>
    <w:p w14:paraId="2BF6BCE2" w14:textId="19382D5F" w:rsidR="00D5181D" w:rsidRDefault="001E77A6" w:rsidP="00D5181D">
      <w:pPr>
        <w:pStyle w:val="Paragraph"/>
        <w:numPr>
          <w:ilvl w:val="1"/>
          <w:numId w:val="8"/>
        </w:numPr>
        <w:rPr>
          <w:lang w:val="en-GB"/>
        </w:rPr>
      </w:pPr>
      <w:r>
        <w:rPr>
          <w:lang w:val="en-GB"/>
        </w:rPr>
        <w:t xml:space="preserve">Section 2 provides a general introduction to the carbon stock account including a </w:t>
      </w:r>
      <w:r w:rsidR="00397A5E">
        <w:rPr>
          <w:lang w:val="en-GB"/>
        </w:rPr>
        <w:t>listing of potential applications</w:t>
      </w:r>
    </w:p>
    <w:p w14:paraId="4C5CA87F" w14:textId="6EB466DB" w:rsidR="00397A5E" w:rsidRDefault="00397A5E" w:rsidP="00D5181D">
      <w:pPr>
        <w:pStyle w:val="Paragraph"/>
        <w:numPr>
          <w:ilvl w:val="1"/>
          <w:numId w:val="8"/>
        </w:numPr>
        <w:rPr>
          <w:lang w:val="en-GB"/>
        </w:rPr>
      </w:pPr>
      <w:r>
        <w:rPr>
          <w:lang w:val="en-GB"/>
        </w:rPr>
        <w:t xml:space="preserve">Section 3 discusses the key conceptual issues </w:t>
      </w:r>
      <w:r w:rsidR="000162E3">
        <w:rPr>
          <w:lang w:val="en-GB"/>
        </w:rPr>
        <w:t xml:space="preserve">for determining the </w:t>
      </w:r>
      <w:r w:rsidR="001A5D81">
        <w:rPr>
          <w:lang w:val="en-GB"/>
        </w:rPr>
        <w:t xml:space="preserve">inclusion of the carbon stock account in the updated SEEA CF, namely whether the carbon stock is an </w:t>
      </w:r>
      <w:r w:rsidR="001A5D81">
        <w:rPr>
          <w:lang w:val="en-GB"/>
        </w:rPr>
        <w:lastRenderedPageBreak/>
        <w:t xml:space="preserve">environmental asset and </w:t>
      </w:r>
      <w:r w:rsidR="00EF6B84">
        <w:rPr>
          <w:lang w:val="en-GB"/>
        </w:rPr>
        <w:t>whether a carbon stock account in monetary terms should be compiled.</w:t>
      </w:r>
    </w:p>
    <w:p w14:paraId="7A1AEC5D" w14:textId="15FA057C" w:rsidR="00EF6B84" w:rsidRDefault="00EF6B84" w:rsidP="00D5181D">
      <w:pPr>
        <w:pStyle w:val="Paragraph"/>
        <w:numPr>
          <w:ilvl w:val="1"/>
          <w:numId w:val="8"/>
        </w:numPr>
        <w:rPr>
          <w:lang w:val="en-GB"/>
        </w:rPr>
      </w:pPr>
      <w:r>
        <w:rPr>
          <w:lang w:val="en-GB"/>
        </w:rPr>
        <w:t xml:space="preserve">Section 4 considers whether </w:t>
      </w:r>
      <w:r w:rsidR="00B375D3">
        <w:rPr>
          <w:lang w:val="en-GB"/>
        </w:rPr>
        <w:t>the carbon stock account should be included in the updated SEEA CF, notwithstanding the conclusions of the conceptual issues</w:t>
      </w:r>
      <w:r w:rsidR="00E807FD">
        <w:rPr>
          <w:lang w:val="en-GB"/>
        </w:rPr>
        <w:t>.</w:t>
      </w:r>
    </w:p>
    <w:p w14:paraId="2ECD9D17" w14:textId="69AD11BE" w:rsidR="00E807FD" w:rsidRDefault="00E807FD" w:rsidP="00D5181D">
      <w:pPr>
        <w:pStyle w:val="Paragraph"/>
        <w:numPr>
          <w:ilvl w:val="1"/>
          <w:numId w:val="8"/>
        </w:numPr>
        <w:rPr>
          <w:lang w:val="en-GB"/>
        </w:rPr>
      </w:pPr>
      <w:r>
        <w:rPr>
          <w:lang w:val="en-GB"/>
        </w:rPr>
        <w:t xml:space="preserve">Section 5 presents </w:t>
      </w:r>
      <w:r w:rsidR="001465D6">
        <w:rPr>
          <w:lang w:val="en-GB"/>
        </w:rPr>
        <w:t xml:space="preserve">a proposed scope for carbon stock accounts in physical terms with a focus on </w:t>
      </w:r>
      <w:r w:rsidR="00CA16A9">
        <w:rPr>
          <w:lang w:val="en-GB"/>
        </w:rPr>
        <w:t xml:space="preserve">describing the scope of carbon in the economy. This section also presents a </w:t>
      </w:r>
      <w:r w:rsidR="00AA00E0">
        <w:rPr>
          <w:lang w:val="en-GB"/>
        </w:rPr>
        <w:t>proposed structure for a carbon stock account in physical terms based on the proposed scope and treatments.</w:t>
      </w:r>
    </w:p>
    <w:p w14:paraId="63E62AB8" w14:textId="75A8FD8C" w:rsidR="00BD141A" w:rsidRDefault="004D4A99" w:rsidP="00D5181D">
      <w:pPr>
        <w:pStyle w:val="Paragraph"/>
        <w:numPr>
          <w:ilvl w:val="1"/>
          <w:numId w:val="8"/>
        </w:numPr>
        <w:rPr>
          <w:lang w:val="en-GB"/>
        </w:rPr>
      </w:pPr>
      <w:r>
        <w:rPr>
          <w:lang w:val="en-GB"/>
        </w:rPr>
        <w:t>Sections 6 and 7 describe, respectively, the connections between carbon stock accounts and other SEEA accounts and UNFCCC reporting.</w:t>
      </w:r>
    </w:p>
    <w:p w14:paraId="24204A13" w14:textId="77777777" w:rsidR="009524C1" w:rsidRDefault="009524C1" w:rsidP="00D90260"/>
    <w:p w14:paraId="1FF53B05" w14:textId="2F63CC85" w:rsidR="00C82447" w:rsidRDefault="008F085B" w:rsidP="00C73DE6">
      <w:pPr>
        <w:pStyle w:val="Heading1"/>
      </w:pPr>
      <w:bookmarkStart w:id="9" w:name="_Toc239173039"/>
      <w:r>
        <w:t>Introduction to the carbon stock account</w:t>
      </w:r>
      <w:bookmarkEnd w:id="9"/>
    </w:p>
    <w:p w14:paraId="17D284B2" w14:textId="79D148BB" w:rsidR="00005CC3" w:rsidRPr="00005CC3" w:rsidRDefault="00005CC3" w:rsidP="00005CC3">
      <w:pPr>
        <w:pStyle w:val="Heading2"/>
      </w:pPr>
      <w:bookmarkStart w:id="10" w:name="_Toc239173040"/>
      <w:r>
        <w:t>General framing of a carbon stock account</w:t>
      </w:r>
      <w:bookmarkEnd w:id="10"/>
    </w:p>
    <w:p w14:paraId="5D6F5A35" w14:textId="2CFFF47F" w:rsidR="00323804" w:rsidRDefault="00323804" w:rsidP="00323804">
      <w:pPr>
        <w:pStyle w:val="Paragraph"/>
        <w:rPr>
          <w:lang w:val="en-GB"/>
        </w:rPr>
      </w:pPr>
      <w:r>
        <w:rPr>
          <w:lang w:val="en-GB"/>
        </w:rPr>
        <w:t xml:space="preserve">The starting point for considering the description of carbon stock accounts in the SEEA CF is the content presented in the SEEA EA chapter 13 which has been included as an annex to this Guidance Note. That content provides a rationale and short description of carbon stock accounts with the basic structure of the account as shown in Table 1 below. </w:t>
      </w:r>
      <w:r w:rsidR="00A90F5A">
        <w:rPr>
          <w:lang w:val="en-GB"/>
        </w:rPr>
        <w:t xml:space="preserve">Note that the carbon stock account in the SEEA EA is only described in physical terms. </w:t>
      </w:r>
      <w:r w:rsidR="00644AC8">
        <w:rPr>
          <w:lang w:val="en-GB"/>
        </w:rPr>
        <w:t>N</w:t>
      </w:r>
      <w:r w:rsidR="00A90F5A">
        <w:rPr>
          <w:lang w:val="en-GB"/>
        </w:rPr>
        <w:t>o consideration</w:t>
      </w:r>
      <w:r w:rsidR="00644AC8">
        <w:rPr>
          <w:lang w:val="en-GB"/>
        </w:rPr>
        <w:t xml:space="preserve"> was given in the </w:t>
      </w:r>
      <w:r w:rsidR="00713596">
        <w:rPr>
          <w:lang w:val="en-GB"/>
        </w:rPr>
        <w:t xml:space="preserve">SEEA EA to </w:t>
      </w:r>
      <w:r w:rsidR="00A90F5A">
        <w:rPr>
          <w:lang w:val="en-GB"/>
        </w:rPr>
        <w:t xml:space="preserve">the compilation of a carbon stock account in monetary </w:t>
      </w:r>
      <w:proofErr w:type="gramStart"/>
      <w:r w:rsidR="00A90F5A">
        <w:rPr>
          <w:lang w:val="en-GB"/>
        </w:rPr>
        <w:t>terms</w:t>
      </w:r>
      <w:proofErr w:type="gramEnd"/>
      <w:r w:rsidR="00713596">
        <w:rPr>
          <w:lang w:val="en-GB"/>
        </w:rPr>
        <w:t xml:space="preserve"> but this </w:t>
      </w:r>
      <w:r w:rsidR="00D917FC">
        <w:rPr>
          <w:lang w:val="en-GB"/>
        </w:rPr>
        <w:t xml:space="preserve">possibility is </w:t>
      </w:r>
      <w:r w:rsidR="001A0B7C">
        <w:rPr>
          <w:lang w:val="en-GB"/>
        </w:rPr>
        <w:t>discussed below.</w:t>
      </w:r>
      <w:r w:rsidR="00713596">
        <w:rPr>
          <w:lang w:val="en-GB"/>
        </w:rPr>
        <w:t xml:space="preserve"> </w:t>
      </w:r>
    </w:p>
    <w:p w14:paraId="43CE9EB8" w14:textId="77777777" w:rsidR="00323804" w:rsidRDefault="00323804" w:rsidP="00323804">
      <w:pPr>
        <w:pStyle w:val="Paragraph"/>
        <w:numPr>
          <w:ilvl w:val="0"/>
          <w:numId w:val="0"/>
        </w:numPr>
        <w:ind w:left="720" w:hanging="360"/>
        <w:rPr>
          <w:lang w:val="en-GB"/>
        </w:rPr>
      </w:pPr>
    </w:p>
    <w:p w14:paraId="68ABCD23" w14:textId="77777777" w:rsidR="00323804" w:rsidRPr="000D13BB" w:rsidRDefault="00323804" w:rsidP="00323804">
      <w:pPr>
        <w:pStyle w:val="Caption"/>
        <w:rPr>
          <w:lang w:val="en-GB"/>
        </w:rPr>
      </w:pPr>
      <w:r w:rsidRPr="000D13BB">
        <w:rPr>
          <w:lang w:val="en-GB"/>
        </w:rPr>
        <w:lastRenderedPageBreak/>
        <w:t xml:space="preserve">Table </w:t>
      </w:r>
      <w:r>
        <w:rPr>
          <w:lang w:val="en-GB"/>
        </w:rPr>
        <w:fldChar w:fldCharType="begin"/>
      </w:r>
      <w:r>
        <w:rPr>
          <w:lang w:val="en-GB"/>
        </w:rPr>
        <w:instrText xml:space="preserve"> SEQ Table \* ARABIC \s 1 </w:instrText>
      </w:r>
      <w:r>
        <w:rPr>
          <w:lang w:val="en-GB"/>
        </w:rPr>
        <w:fldChar w:fldCharType="separate"/>
      </w:r>
      <w:r>
        <w:rPr>
          <w:noProof/>
          <w:lang w:val="en-GB"/>
        </w:rPr>
        <w:t>1</w:t>
      </w:r>
      <w:r>
        <w:rPr>
          <w:lang w:val="en-GB"/>
        </w:rPr>
        <w:fldChar w:fldCharType="end"/>
      </w:r>
      <w:r w:rsidRPr="000D13BB">
        <w:rPr>
          <w:lang w:val="en-GB"/>
        </w:rPr>
        <w:t xml:space="preserve">: </w:t>
      </w:r>
      <w:r>
        <w:rPr>
          <w:lang w:val="en-GB"/>
        </w:rPr>
        <w:t xml:space="preserve">SEEA EA </w:t>
      </w:r>
      <w:r w:rsidRPr="000D13BB">
        <w:rPr>
          <w:lang w:val="en-GB"/>
        </w:rPr>
        <w:t>Carbon stock account structure</w:t>
      </w:r>
    </w:p>
    <w:p w14:paraId="21E99ED1" w14:textId="77777777" w:rsidR="00323804" w:rsidRPr="000D13BB" w:rsidRDefault="00323804" w:rsidP="00323804">
      <w:pPr>
        <w:rPr>
          <w:lang w:val="en-GB"/>
        </w:rPr>
      </w:pPr>
      <w:r w:rsidRPr="000D13BB">
        <w:rPr>
          <w:noProof/>
          <w:lang w:val="en-GB" w:eastAsia="nl-NL"/>
        </w:rPr>
        <w:drawing>
          <wp:inline distT="0" distB="0" distL="0" distR="0" wp14:anchorId="044EE204" wp14:editId="61417743">
            <wp:extent cx="5760720" cy="4014470"/>
            <wp:effectExtent l="0" t="0" r="0" b="0"/>
            <wp:docPr id="34078624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4014470"/>
                    </a:xfrm>
                    <a:prstGeom prst="rect">
                      <a:avLst/>
                    </a:prstGeom>
                    <a:noFill/>
                    <a:ln>
                      <a:noFill/>
                    </a:ln>
                  </pic:spPr>
                </pic:pic>
              </a:graphicData>
            </a:graphic>
          </wp:inline>
        </w:drawing>
      </w:r>
    </w:p>
    <w:p w14:paraId="1A7E8F5F" w14:textId="77777777" w:rsidR="00323804" w:rsidRPr="000D13BB" w:rsidRDefault="00323804" w:rsidP="00323804">
      <w:pPr>
        <w:rPr>
          <w:lang w:val="en-GB"/>
        </w:rPr>
      </w:pPr>
    </w:p>
    <w:p w14:paraId="7582DA70" w14:textId="0E924218" w:rsidR="00005CC3" w:rsidRDefault="00005CC3" w:rsidP="00005CC3">
      <w:pPr>
        <w:pStyle w:val="Heading2"/>
      </w:pPr>
      <w:bookmarkStart w:id="11" w:name="_Toc239173041"/>
      <w:r>
        <w:t xml:space="preserve">Applications and uses of </w:t>
      </w:r>
      <w:r w:rsidR="007374C0">
        <w:t xml:space="preserve">data from </w:t>
      </w:r>
      <w:r>
        <w:t>carbon stock accounts</w:t>
      </w:r>
      <w:bookmarkEnd w:id="11"/>
    </w:p>
    <w:p w14:paraId="380300E3" w14:textId="77777777" w:rsidR="00005CC3" w:rsidRDefault="00005CC3" w:rsidP="00005CC3">
      <w:pPr>
        <w:pStyle w:val="Paragraph"/>
      </w:pPr>
      <w:r>
        <w:t xml:space="preserve">To design a generic structure of carbon stock accounts it is important to consider the potential uses and applications of the accounts, for example in terms of industry detail and detail within each type of reservoir. Starting from the design of the carbon stock account presented in the SEEA EA and </w:t>
      </w:r>
      <w:proofErr w:type="gramStart"/>
      <w:r>
        <w:t>in light of</w:t>
      </w:r>
      <w:proofErr w:type="gramEnd"/>
      <w:r>
        <w:t xml:space="preserve"> the potential extensions considered above, this section describes potential uses and applications and proposes alternative structures for the carbon stock account. </w:t>
      </w:r>
    </w:p>
    <w:p w14:paraId="6645C43A" w14:textId="666598AC" w:rsidR="00005CC3" w:rsidRDefault="00005CC3" w:rsidP="00005CC3">
      <w:pPr>
        <w:pStyle w:val="Paragraph"/>
      </w:pPr>
      <w:r>
        <w:t xml:space="preserve">Possible applications and uses of </w:t>
      </w:r>
      <w:r w:rsidR="00A534FE">
        <w:t xml:space="preserve">data from </w:t>
      </w:r>
      <w:r>
        <w:t>carbon stock accounts include:</w:t>
      </w:r>
    </w:p>
    <w:p w14:paraId="1D85D504" w14:textId="77777777" w:rsidR="00005CC3" w:rsidRDefault="00005CC3" w:rsidP="00005CC3">
      <w:pPr>
        <w:pStyle w:val="ListParagraph"/>
        <w:numPr>
          <w:ilvl w:val="1"/>
          <w:numId w:val="8"/>
        </w:numPr>
        <w:spacing w:after="120"/>
        <w:ind w:left="1134" w:right="724"/>
        <w:jc w:val="both"/>
        <w:rPr>
          <w:rFonts w:asciiTheme="minorHAnsi" w:hAnsiTheme="minorHAnsi" w:cstheme="minorHAnsi"/>
          <w:lang w:val="en-GB"/>
        </w:rPr>
      </w:pPr>
      <w:r>
        <w:rPr>
          <w:rFonts w:asciiTheme="minorHAnsi" w:hAnsiTheme="minorHAnsi" w:cstheme="minorHAnsi"/>
          <w:lang w:val="en-GB"/>
        </w:rPr>
        <w:t>A</w:t>
      </w:r>
      <w:r w:rsidRPr="00474023">
        <w:rPr>
          <w:rFonts w:asciiTheme="minorHAnsi" w:hAnsiTheme="minorHAnsi" w:cstheme="minorHAnsi"/>
          <w:lang w:val="en-GB"/>
        </w:rPr>
        <w:t xml:space="preserve">pplications </w:t>
      </w:r>
      <w:r>
        <w:rPr>
          <w:rFonts w:asciiTheme="minorHAnsi" w:hAnsiTheme="minorHAnsi" w:cstheme="minorHAnsi"/>
          <w:lang w:val="en-GB"/>
        </w:rPr>
        <w:t xml:space="preserve">in the context of carbon markets including </w:t>
      </w:r>
      <w:r w:rsidRPr="00474023">
        <w:rPr>
          <w:rFonts w:asciiTheme="minorHAnsi" w:hAnsiTheme="minorHAnsi" w:cstheme="minorHAnsi"/>
          <w:lang w:val="en-GB"/>
        </w:rPr>
        <w:t>links to carbon credits, emission trading schemes and related mechanisms</w:t>
      </w:r>
      <w:r>
        <w:rPr>
          <w:rFonts w:asciiTheme="minorHAnsi" w:hAnsiTheme="minorHAnsi" w:cstheme="minorHAnsi"/>
          <w:lang w:val="en-GB"/>
        </w:rPr>
        <w:t>, company reporting on progress towards climate targets and climate-related financial disclosures.</w:t>
      </w:r>
    </w:p>
    <w:p w14:paraId="5A17416E" w14:textId="5A362F1F" w:rsidR="001F22D7" w:rsidRPr="00562ED5" w:rsidRDefault="001F22D7" w:rsidP="00005CC3">
      <w:pPr>
        <w:pStyle w:val="ListParagraph"/>
        <w:numPr>
          <w:ilvl w:val="1"/>
          <w:numId w:val="8"/>
        </w:numPr>
        <w:spacing w:after="120"/>
        <w:ind w:left="1134" w:right="724"/>
        <w:jc w:val="both"/>
        <w:rPr>
          <w:rFonts w:asciiTheme="minorHAnsi" w:hAnsiTheme="minorHAnsi" w:cstheme="minorHAnsi"/>
          <w:lang w:val="en-GB"/>
        </w:rPr>
      </w:pPr>
      <w:r>
        <w:rPr>
          <w:rFonts w:asciiTheme="minorHAnsi" w:hAnsiTheme="minorHAnsi" w:cstheme="minorHAnsi"/>
          <w:lang w:val="en-GB"/>
        </w:rPr>
        <w:t>Support for the design, implementation and monitoring of climate mitigation policies and related land management polices concerning the protection and restoration of ecosystems.</w:t>
      </w:r>
    </w:p>
    <w:p w14:paraId="3249BC2B" w14:textId="02B52E01" w:rsidR="00005CC3" w:rsidRPr="00226595" w:rsidRDefault="00005CC3" w:rsidP="00005CC3">
      <w:pPr>
        <w:pStyle w:val="ListParagraph"/>
        <w:numPr>
          <w:ilvl w:val="1"/>
          <w:numId w:val="8"/>
        </w:numPr>
        <w:spacing w:after="120"/>
        <w:ind w:left="1134" w:right="724"/>
        <w:jc w:val="both"/>
        <w:rPr>
          <w:rFonts w:asciiTheme="minorHAnsi" w:hAnsiTheme="minorHAnsi" w:cstheme="minorHAnsi"/>
          <w:lang w:val="en-GB"/>
        </w:rPr>
      </w:pPr>
      <w:r>
        <w:rPr>
          <w:rFonts w:asciiTheme="minorHAnsi" w:hAnsiTheme="minorHAnsi" w:cstheme="minorHAnsi"/>
        </w:rPr>
        <w:t>The potential to design a carbon stock change matrix showing the movements across different carbon reservoirs over time and thus supporting targeted analysis of the drivers of changes in carbon stocks across the biosphere, geosphere, economy</w:t>
      </w:r>
      <w:r w:rsidR="00A000C8">
        <w:rPr>
          <w:rFonts w:asciiTheme="minorHAnsi" w:hAnsiTheme="minorHAnsi" w:cstheme="minorHAnsi"/>
        </w:rPr>
        <w:t xml:space="preserve">, </w:t>
      </w:r>
      <w:r w:rsidR="00A000C8">
        <w:rPr>
          <w:rFonts w:asciiTheme="minorHAnsi" w:hAnsiTheme="minorHAnsi" w:cstheme="minorHAnsi"/>
        </w:rPr>
        <w:lastRenderedPageBreak/>
        <w:t>oceans</w:t>
      </w:r>
      <w:r>
        <w:rPr>
          <w:rFonts w:asciiTheme="minorHAnsi" w:hAnsiTheme="minorHAnsi" w:cstheme="minorHAnsi"/>
        </w:rPr>
        <w:t xml:space="preserve"> and atmosphere. </w:t>
      </w:r>
      <w:r w:rsidR="00486782">
        <w:rPr>
          <w:rFonts w:asciiTheme="minorHAnsi" w:hAnsiTheme="minorHAnsi" w:cstheme="minorHAnsi"/>
        </w:rPr>
        <w:t>Further analysis is needed to see whether t</w:t>
      </w:r>
      <w:r>
        <w:rPr>
          <w:rFonts w:asciiTheme="minorHAnsi" w:hAnsiTheme="minorHAnsi" w:cstheme="minorHAnsi"/>
        </w:rPr>
        <w:t xml:space="preserve">his </w:t>
      </w:r>
      <w:r w:rsidR="00486782">
        <w:rPr>
          <w:rFonts w:asciiTheme="minorHAnsi" w:hAnsiTheme="minorHAnsi" w:cstheme="minorHAnsi"/>
        </w:rPr>
        <w:t xml:space="preserve">type of </w:t>
      </w:r>
      <w:r>
        <w:rPr>
          <w:rFonts w:asciiTheme="minorHAnsi" w:hAnsiTheme="minorHAnsi" w:cstheme="minorHAnsi"/>
        </w:rPr>
        <w:t xml:space="preserve">matrix </w:t>
      </w:r>
      <w:r w:rsidR="00C931F6">
        <w:rPr>
          <w:rFonts w:asciiTheme="minorHAnsi" w:hAnsiTheme="minorHAnsi" w:cstheme="minorHAnsi"/>
        </w:rPr>
        <w:t xml:space="preserve">can </w:t>
      </w:r>
      <w:r>
        <w:rPr>
          <w:rFonts w:asciiTheme="minorHAnsi" w:hAnsiTheme="minorHAnsi" w:cstheme="minorHAnsi"/>
        </w:rPr>
        <w:t xml:space="preserve">be developed </w:t>
      </w:r>
      <w:r w:rsidR="00C931F6">
        <w:rPr>
          <w:rFonts w:asciiTheme="minorHAnsi" w:hAnsiTheme="minorHAnsi" w:cstheme="minorHAnsi"/>
        </w:rPr>
        <w:t>along the lines</w:t>
      </w:r>
      <w:r>
        <w:rPr>
          <w:rFonts w:asciiTheme="minorHAnsi" w:hAnsiTheme="minorHAnsi" w:cstheme="minorHAnsi"/>
        </w:rPr>
        <w:t xml:space="preserve"> of the land cover change matrix presented in the SEEA CF and SEEA EA.</w:t>
      </w:r>
    </w:p>
    <w:p w14:paraId="51C47C8F" w14:textId="77777777" w:rsidR="00005CC3" w:rsidRDefault="00005CC3" w:rsidP="00005CC3">
      <w:pPr>
        <w:pStyle w:val="ListParagraph"/>
        <w:numPr>
          <w:ilvl w:val="1"/>
          <w:numId w:val="8"/>
        </w:numPr>
        <w:spacing w:after="120"/>
        <w:ind w:left="1134" w:right="724"/>
        <w:jc w:val="both"/>
        <w:rPr>
          <w:rFonts w:asciiTheme="minorHAnsi" w:hAnsiTheme="minorHAnsi" w:cstheme="minorHAnsi"/>
          <w:lang w:val="en-GB"/>
        </w:rPr>
      </w:pPr>
      <w:r>
        <w:rPr>
          <w:rFonts w:asciiTheme="minorHAnsi" w:hAnsiTheme="minorHAnsi" w:cstheme="minorHAnsi"/>
          <w:lang w:val="en-GB"/>
        </w:rPr>
        <w:t>The potential to map complete carbon “supply chains” for specific products or activities. For, example the production of concrete will use carbon stored in limestone (geosphere) and fossil fuels (geosphere) to produce concrete which is stored in the economy while generating emissions to the atmosphere both during production and at end of life. This type of accounting is used in the corporate sector to report on Scope 3 emissions and is increasingly being used for reporting on Taskforce on Climate-related Financial Disclosures.</w:t>
      </w:r>
    </w:p>
    <w:p w14:paraId="79EB69F7" w14:textId="77777777" w:rsidR="00005CC3" w:rsidRDefault="00005CC3" w:rsidP="00005CC3">
      <w:pPr>
        <w:pStyle w:val="ListParagraph"/>
        <w:numPr>
          <w:ilvl w:val="1"/>
          <w:numId w:val="8"/>
        </w:numPr>
        <w:spacing w:after="120"/>
        <w:ind w:left="1134" w:right="724"/>
        <w:jc w:val="both"/>
        <w:rPr>
          <w:rFonts w:asciiTheme="minorHAnsi" w:hAnsiTheme="minorHAnsi" w:cstheme="minorHAnsi"/>
          <w:lang w:val="en-GB"/>
        </w:rPr>
      </w:pPr>
      <w:r>
        <w:rPr>
          <w:rFonts w:asciiTheme="minorHAnsi" w:hAnsiTheme="minorHAnsi" w:cstheme="minorHAnsi"/>
          <w:lang w:val="en-GB"/>
        </w:rPr>
        <w:t>The potential to map flows of embodied carbon in international trade and make the connection to changes in the carbon stocks in the geosphere and biosphere at the commencement of those trade flows.</w:t>
      </w:r>
    </w:p>
    <w:p w14:paraId="574D17C6" w14:textId="77777777" w:rsidR="00005CC3" w:rsidRDefault="00005CC3" w:rsidP="00005CC3">
      <w:pPr>
        <w:pStyle w:val="ListParagraph"/>
        <w:numPr>
          <w:ilvl w:val="1"/>
          <w:numId w:val="8"/>
        </w:numPr>
        <w:spacing w:after="120"/>
        <w:ind w:left="1134" w:right="724"/>
        <w:jc w:val="both"/>
        <w:rPr>
          <w:rFonts w:asciiTheme="minorHAnsi" w:hAnsiTheme="minorHAnsi" w:cstheme="minorHAnsi"/>
          <w:lang w:val="en-GB"/>
        </w:rPr>
      </w:pPr>
      <w:r>
        <w:rPr>
          <w:rFonts w:asciiTheme="minorHAnsi" w:hAnsiTheme="minorHAnsi" w:cstheme="minorHAnsi"/>
          <w:lang w:val="en-GB"/>
        </w:rPr>
        <w:t>Supporting the development and implementation of national carbon budgets. Consistent recording of the stocks of carbon in all reservoirs provides the underpinning information to understand the potential for the release of carbon and hence support modelling of changes in carbon stocks under alternative policy options and the implications of limiting the releases of carbon.</w:t>
      </w:r>
    </w:p>
    <w:p w14:paraId="4395E81D" w14:textId="77777777" w:rsidR="00005CC3" w:rsidRDefault="00005CC3" w:rsidP="00005CC3">
      <w:pPr>
        <w:pStyle w:val="ListParagraph"/>
        <w:numPr>
          <w:ilvl w:val="1"/>
          <w:numId w:val="8"/>
        </w:numPr>
        <w:spacing w:after="120"/>
        <w:ind w:left="1134" w:right="724"/>
        <w:jc w:val="both"/>
        <w:rPr>
          <w:rFonts w:asciiTheme="minorHAnsi" w:hAnsiTheme="minorHAnsi" w:cstheme="minorHAnsi"/>
          <w:lang w:val="en-GB"/>
        </w:rPr>
      </w:pPr>
      <w:r>
        <w:rPr>
          <w:rFonts w:asciiTheme="minorHAnsi" w:hAnsiTheme="minorHAnsi" w:cstheme="minorHAnsi"/>
          <w:lang w:val="en-GB"/>
        </w:rPr>
        <w:t xml:space="preserve">Tracking the effects of the energy transition in terms of implications on the stocks of carbon in the geosphere, economy and atmosphere. </w:t>
      </w:r>
    </w:p>
    <w:p w14:paraId="68F66A90" w14:textId="1A2A6A01" w:rsidR="00005CC3" w:rsidRDefault="00005CC3" w:rsidP="00005CC3">
      <w:pPr>
        <w:pStyle w:val="ListParagraph"/>
        <w:numPr>
          <w:ilvl w:val="1"/>
          <w:numId w:val="8"/>
        </w:numPr>
        <w:spacing w:after="120"/>
        <w:ind w:left="1134" w:right="724"/>
        <w:jc w:val="both"/>
        <w:rPr>
          <w:rFonts w:asciiTheme="minorHAnsi" w:hAnsiTheme="minorHAnsi" w:cstheme="minorHAnsi"/>
          <w:lang w:val="en-GB"/>
        </w:rPr>
      </w:pPr>
      <w:r>
        <w:rPr>
          <w:rFonts w:asciiTheme="minorHAnsi" w:hAnsiTheme="minorHAnsi" w:cstheme="minorHAnsi"/>
          <w:lang w:val="en-GB"/>
        </w:rPr>
        <w:t>Using spatially explicit data on carbon stocks in the biosphere and their stability as indicated by the ecosystem condition account to prioritise locations and land management activities for implementing nature-based solutions and emissions reductions.</w:t>
      </w:r>
      <w:r w:rsidR="00B36753">
        <w:rPr>
          <w:rFonts w:asciiTheme="minorHAnsi" w:hAnsiTheme="minorHAnsi" w:cstheme="minorHAnsi"/>
          <w:lang w:val="en-GB"/>
        </w:rPr>
        <w:t xml:space="preserve"> Here special consideration of the treatment of peatlands will be necessary.</w:t>
      </w:r>
    </w:p>
    <w:p w14:paraId="506301D5" w14:textId="77777777" w:rsidR="00005CC3" w:rsidRDefault="00005CC3" w:rsidP="00005CC3">
      <w:pPr>
        <w:pStyle w:val="ListParagraph"/>
        <w:numPr>
          <w:ilvl w:val="1"/>
          <w:numId w:val="8"/>
        </w:numPr>
        <w:spacing w:after="120"/>
        <w:ind w:left="1134" w:right="724"/>
        <w:jc w:val="both"/>
        <w:rPr>
          <w:rFonts w:asciiTheme="minorHAnsi" w:hAnsiTheme="minorHAnsi" w:cstheme="minorHAnsi"/>
          <w:lang w:val="en-GB"/>
        </w:rPr>
      </w:pPr>
      <w:r>
        <w:rPr>
          <w:rFonts w:asciiTheme="minorHAnsi" w:hAnsiTheme="minorHAnsi" w:cstheme="minorHAnsi"/>
          <w:lang w:val="en-GB"/>
        </w:rPr>
        <w:t xml:space="preserve">Supporting the compilation of SEEA accounts. As noted above there are many connections between carbon stock accounts and other SEEA accounts. The compilation of carbon stocks accounts can be a core data output that underpins many other accounts given its comprehensive and consistent framework. Examples include air emission accounts, ecosystem condition accounts and ecosystem services accounts. </w:t>
      </w:r>
    </w:p>
    <w:p w14:paraId="425BB745" w14:textId="77777777" w:rsidR="0004006A" w:rsidRDefault="0004006A" w:rsidP="0004006A">
      <w:pPr>
        <w:rPr>
          <w:lang w:val="en-GB"/>
        </w:rPr>
      </w:pPr>
    </w:p>
    <w:p w14:paraId="6A3475FE" w14:textId="77777777" w:rsidR="007E5B19" w:rsidRPr="002129F9" w:rsidRDefault="007E5B19" w:rsidP="007E5B19">
      <w:pPr>
        <w:pStyle w:val="Heading1"/>
        <w:rPr>
          <w:lang w:val="en-GB"/>
        </w:rPr>
      </w:pPr>
      <w:bookmarkStart w:id="12" w:name="_Toc239173042"/>
      <w:r w:rsidRPr="00226595">
        <w:rPr>
          <w:lang w:val="en-GB"/>
        </w:rPr>
        <w:t>Including carbon stock accounts in</w:t>
      </w:r>
      <w:r w:rsidRPr="002129F9">
        <w:rPr>
          <w:lang w:val="en-GB"/>
        </w:rPr>
        <w:t xml:space="preserve"> the SEEA CF</w:t>
      </w:r>
      <w:bookmarkEnd w:id="12"/>
    </w:p>
    <w:p w14:paraId="799F7F44" w14:textId="15DB913D" w:rsidR="007E5B19" w:rsidRDefault="004C285C" w:rsidP="007E5B19">
      <w:pPr>
        <w:pStyle w:val="Paragraph"/>
        <w:rPr>
          <w:lang w:val="en-GB"/>
        </w:rPr>
      </w:pPr>
      <w:r>
        <w:rPr>
          <w:lang w:val="en-GB"/>
        </w:rPr>
        <w:t>Pending discussion of the conceptual issues in Section 4, i</w:t>
      </w:r>
      <w:r w:rsidR="007E5B19">
        <w:rPr>
          <w:lang w:val="en-GB"/>
        </w:rPr>
        <w:t xml:space="preserve">f it is determined that the carbon stock is an environmental asset, then the inclusion of carbon stock accounts in the SEEA CF, at least in physical terms, seems appropriate. However, if the carbon stock is </w:t>
      </w:r>
      <w:r w:rsidR="007E5B19" w:rsidRPr="00FA557B">
        <w:rPr>
          <w:u w:val="single"/>
          <w:lang w:val="en-GB"/>
        </w:rPr>
        <w:t>not</w:t>
      </w:r>
      <w:r w:rsidR="007E5B19">
        <w:rPr>
          <w:lang w:val="en-GB"/>
        </w:rPr>
        <w:t xml:space="preserve"> considered an environmental asset</w:t>
      </w:r>
      <w:r w:rsidR="00FA557B">
        <w:rPr>
          <w:lang w:val="en-GB"/>
        </w:rPr>
        <w:t xml:space="preserve">, </w:t>
      </w:r>
      <w:r w:rsidR="007E5B19">
        <w:rPr>
          <w:lang w:val="en-GB"/>
        </w:rPr>
        <w:t xml:space="preserve">then the inclusion of carbon stock accounts in the SEEA CF in physical or monetary terms needs to be separately considered. The following points have emerged in considering this issue. </w:t>
      </w:r>
    </w:p>
    <w:p w14:paraId="76E2466A" w14:textId="1D4D5AA5" w:rsidR="007E5B19" w:rsidRDefault="007E5B19" w:rsidP="007E5B19">
      <w:pPr>
        <w:pStyle w:val="Paragraph"/>
        <w:rPr>
          <w:lang w:val="en-GB"/>
        </w:rPr>
      </w:pPr>
      <w:r>
        <w:rPr>
          <w:lang w:val="en-GB"/>
        </w:rPr>
        <w:lastRenderedPageBreak/>
        <w:t xml:space="preserve">First, in accounting terms it is conceptually possible to compile accounts in physical terms to record the opening and closing stock of carbon and changes in that stock following the standard asset account structure as described in the SEEA CF Chapter 2. This has been demonstrated in the SEEA EA. From an accounting structure perspective there is no obvious restriction </w:t>
      </w:r>
      <w:r w:rsidR="00FA557B">
        <w:rPr>
          <w:lang w:val="en-GB"/>
        </w:rPr>
        <w:t xml:space="preserve">to </w:t>
      </w:r>
      <w:r>
        <w:rPr>
          <w:lang w:val="en-GB"/>
        </w:rPr>
        <w:t>including carbon stock accounts in the SEEA CF.</w:t>
      </w:r>
    </w:p>
    <w:p w14:paraId="18F20334" w14:textId="77777777" w:rsidR="00FA557B" w:rsidRDefault="00FA557B" w:rsidP="007E5B19">
      <w:pPr>
        <w:pStyle w:val="Paragraph"/>
        <w:rPr>
          <w:lang w:val="en-GB"/>
        </w:rPr>
      </w:pPr>
      <w:r>
        <w:rPr>
          <w:lang w:val="en-GB"/>
        </w:rPr>
        <w:t xml:space="preserve">Further, in terms of the wider structure of the SEEA CF, a physical stock account can be linked directly to the physical flow accounts, currently described in SEEA CF Chapter 3, and which apply a physical supply and use table format. Although there is no proposal for a physical flow account for carbon that would describe flows of carbon within the economy and between the environment and the economy, there are </w:t>
      </w:r>
      <w:proofErr w:type="gramStart"/>
      <w:r>
        <w:rPr>
          <w:lang w:val="en-GB"/>
        </w:rPr>
        <w:t>a number of</w:t>
      </w:r>
      <w:proofErr w:type="gramEnd"/>
      <w:r>
        <w:rPr>
          <w:lang w:val="en-GB"/>
        </w:rPr>
        <w:t xml:space="preserve"> physical flow accounts that speak to parts of these carbon flows. These include the physical flow accounts for energy and air emissions. </w:t>
      </w:r>
    </w:p>
    <w:p w14:paraId="4A530F0F" w14:textId="3F1F5131" w:rsidR="00FA557B" w:rsidRDefault="00FA557B" w:rsidP="007E5B19">
      <w:pPr>
        <w:pStyle w:val="Paragraph"/>
        <w:rPr>
          <w:lang w:val="en-GB"/>
        </w:rPr>
      </w:pPr>
      <w:r>
        <w:rPr>
          <w:lang w:val="en-GB"/>
        </w:rPr>
        <w:t>Although physical stock accounts are not described in the 2012 SEEA CF, it is currently proposed to include these accounts, at least on a conceptual basis. They are relevant, for example, in supporting a more complete recording of physical flows of waste and for tracking flows of mineral resources as considered in GN B3 on accounting for produced assets which highlighted the concept of the “urban mine”.</w:t>
      </w:r>
    </w:p>
    <w:p w14:paraId="0E7DE73F" w14:textId="2A8F3934" w:rsidR="00FA557B" w:rsidRDefault="00FA557B" w:rsidP="007E5B19">
      <w:pPr>
        <w:pStyle w:val="Paragraph"/>
        <w:rPr>
          <w:lang w:val="en-GB"/>
        </w:rPr>
      </w:pPr>
      <w:r>
        <w:rPr>
          <w:lang w:val="en-GB"/>
        </w:rPr>
        <w:t xml:space="preserve">From an overall information perspective there is no clear disadvantage in considering the carbon stock in physical terms only. </w:t>
      </w:r>
    </w:p>
    <w:p w14:paraId="61B4544E" w14:textId="77777777" w:rsidR="007E5B19" w:rsidRDefault="007E5B19" w:rsidP="007E5B19">
      <w:pPr>
        <w:pStyle w:val="Paragraph"/>
        <w:rPr>
          <w:lang w:val="en-GB"/>
        </w:rPr>
      </w:pPr>
      <w:r>
        <w:rPr>
          <w:lang w:val="en-GB"/>
        </w:rPr>
        <w:t>Second, since carbon stock accounts are already described in the SEEA EA, it may be concluded that this provides sufficient content to support countries in compiling these accounts. However, it is noted that:</w:t>
      </w:r>
    </w:p>
    <w:p w14:paraId="5E1321A8" w14:textId="3BBE27E1" w:rsidR="007E5B19" w:rsidRDefault="007E5B19" w:rsidP="007E5B19">
      <w:pPr>
        <w:pStyle w:val="Paragraph"/>
        <w:numPr>
          <w:ilvl w:val="0"/>
          <w:numId w:val="34"/>
        </w:numPr>
        <w:rPr>
          <w:lang w:val="en-GB"/>
        </w:rPr>
      </w:pPr>
      <w:r>
        <w:rPr>
          <w:lang w:val="en-GB"/>
        </w:rPr>
        <w:t>The content concerning the carbon stock account is not considered an international statistical standard but rather as an application and extension</w:t>
      </w:r>
      <w:r w:rsidR="00FA557B">
        <w:rPr>
          <w:lang w:val="en-GB"/>
        </w:rPr>
        <w:t xml:space="preserve"> of the SEEA</w:t>
      </w:r>
      <w:r>
        <w:rPr>
          <w:lang w:val="en-GB"/>
        </w:rPr>
        <w:t xml:space="preserve">. Thus, inclusion of the carbon stock account in the updated SEEA CF may mean that this account becomes part of an international statistical standard (noting that outcomes from the update process cannot be assumed). </w:t>
      </w:r>
    </w:p>
    <w:p w14:paraId="1EFF0466" w14:textId="77777777" w:rsidR="007E5B19" w:rsidRPr="00A25D69" w:rsidRDefault="007E5B19" w:rsidP="007E5B19">
      <w:pPr>
        <w:pStyle w:val="Paragraph"/>
        <w:numPr>
          <w:ilvl w:val="0"/>
          <w:numId w:val="34"/>
        </w:numPr>
        <w:rPr>
          <w:lang w:val="en-GB"/>
        </w:rPr>
      </w:pPr>
      <w:r w:rsidRPr="00A25D69">
        <w:rPr>
          <w:lang w:val="en-GB"/>
        </w:rPr>
        <w:t xml:space="preserve">As discussed in the following sections, the content describing carbon stock accounts in the SEEA EA may be updated and improved as part of the SEEA CF update process. </w:t>
      </w:r>
      <w:proofErr w:type="gramStart"/>
      <w:r w:rsidRPr="00A25D69">
        <w:rPr>
          <w:lang w:val="en-GB"/>
        </w:rPr>
        <w:t xml:space="preserve">In particular, </w:t>
      </w:r>
      <w:r>
        <w:rPr>
          <w:lang w:val="en-GB"/>
        </w:rPr>
        <w:t>t</w:t>
      </w:r>
      <w:r w:rsidRPr="00A25D69">
        <w:rPr>
          <w:lang w:val="en-GB"/>
        </w:rPr>
        <w:t>here</w:t>
      </w:r>
      <w:proofErr w:type="gramEnd"/>
      <w:r w:rsidRPr="00A25D69">
        <w:rPr>
          <w:lang w:val="en-GB"/>
        </w:rPr>
        <w:t xml:space="preserve"> is the opportunity in the SEEA CF update process to incorporate content on the measurement of carbon stocks beyond the biosphere, in particular stocks in the economy, and to describe in more depth the flows between different reservoirs. This wider measurement scope is not a focus of the discussion in the SEEA EA.</w:t>
      </w:r>
    </w:p>
    <w:p w14:paraId="385872C7" w14:textId="77777777" w:rsidR="007E5B19" w:rsidRDefault="007E5B19" w:rsidP="007E5B19">
      <w:pPr>
        <w:pStyle w:val="Paragraph"/>
        <w:rPr>
          <w:lang w:val="en-GB"/>
        </w:rPr>
      </w:pPr>
      <w:r>
        <w:rPr>
          <w:lang w:val="en-GB"/>
        </w:rPr>
        <w:t xml:space="preserve">Third, the inclusion of the carbon stock account in the SEEA CF and further development of the content through the update process creates an opportunity to highlight the potential policy relevance of carbon stock accounting in physical terms and to move measurement beyond the more limited measurement scope reflected as part of UNFCCC reporting. </w:t>
      </w:r>
    </w:p>
    <w:p w14:paraId="34381F33" w14:textId="77777777" w:rsidR="007E5B19" w:rsidRDefault="007E5B19" w:rsidP="007E5B19">
      <w:pPr>
        <w:pStyle w:val="Paragraph"/>
        <w:rPr>
          <w:lang w:val="en-GB"/>
        </w:rPr>
      </w:pPr>
      <w:r>
        <w:rPr>
          <w:lang w:val="en-GB"/>
        </w:rPr>
        <w:t xml:space="preserve">An example of this is the role of a carbon stock account structure in supporting a full deconstruction of additions and reductions in stocks and thus facilitating a reconciliation of different indicators of the change in stock. The recently finalised Eurostat Ecosystem Accounts </w:t>
      </w:r>
      <w:r>
        <w:rPr>
          <w:lang w:val="en-GB"/>
        </w:rPr>
        <w:lastRenderedPageBreak/>
        <w:t>Handbook (Eurostat, 2026) presents an example of this potential in relation to the carbon stock stored in ecosystems – see table below.</w:t>
      </w:r>
    </w:p>
    <w:p w14:paraId="6811B85F" w14:textId="77777777" w:rsidR="007E5B19" w:rsidRDefault="007E5B19" w:rsidP="007E5B19">
      <w:pPr>
        <w:pStyle w:val="Paragraph"/>
        <w:rPr>
          <w:lang w:val="en-GB"/>
        </w:rPr>
      </w:pPr>
      <w:r>
        <w:rPr>
          <w:lang w:val="en-GB"/>
        </w:rPr>
        <w:t xml:space="preserve">Fourth, there are some substantial measurement challenges in practice for certain carbon stocks and, depending on the measurement scope that is determined, it may be difficult to establish sufficient robustness in measurement for inclusion in the SEEA CF. </w:t>
      </w:r>
    </w:p>
    <w:p w14:paraId="0ADB1458" w14:textId="3343DF6D" w:rsidR="007E5B19" w:rsidRDefault="007E5B19" w:rsidP="007E5B19">
      <w:pPr>
        <w:pStyle w:val="Paragraph"/>
        <w:rPr>
          <w:lang w:val="en-GB"/>
        </w:rPr>
      </w:pPr>
      <w:r>
        <w:rPr>
          <w:lang w:val="en-GB"/>
        </w:rPr>
        <w:t xml:space="preserve">Fifth, </w:t>
      </w:r>
      <w:r w:rsidR="00FA557B">
        <w:rPr>
          <w:lang w:val="en-GB"/>
        </w:rPr>
        <w:t xml:space="preserve">as introduced above, </w:t>
      </w:r>
      <w:r>
        <w:rPr>
          <w:lang w:val="en-GB"/>
        </w:rPr>
        <w:t xml:space="preserve">the carbon stock account in physical terms is closely connected to a range of other SEEA CF accounts (see discussion below) and the inclusion of this account in the SEEA CF provides a more complete accounting structure across the SEEA CF and encourages increased coherence in measurement, for example in relation to air emission accounts and the treatment of LULUCF emissions and to energy accounts. </w:t>
      </w:r>
    </w:p>
    <w:p w14:paraId="11A822CD" w14:textId="77777777" w:rsidR="007E5B19" w:rsidRDefault="007E5B19" w:rsidP="007E5B19">
      <w:pPr>
        <w:pStyle w:val="Paragraph"/>
        <w:rPr>
          <w:lang w:val="en-GB"/>
        </w:rPr>
      </w:pPr>
      <w:r>
        <w:rPr>
          <w:lang w:val="en-GB"/>
        </w:rPr>
        <w:t>Overall, it is proposed that since the carbon stock account is consistent with the general type of accounts in the SEEA CF and the update of the SEEA CF provides a good opportunity to better integrate this account with the wider SEEA set of accounts and to update the content of the SEEA EA to reflect expected developments in the updated SEEA CF and the recent changes to the 2025 SNA.</w:t>
      </w:r>
    </w:p>
    <w:p w14:paraId="7A4BDA1A" w14:textId="77777777" w:rsidR="007E5B19" w:rsidRDefault="007E5B19" w:rsidP="007E5B19">
      <w:pPr>
        <w:pStyle w:val="Paragraph"/>
        <w:numPr>
          <w:ilvl w:val="0"/>
          <w:numId w:val="0"/>
        </w:numPr>
        <w:ind w:left="714" w:hanging="357"/>
        <w:rPr>
          <w:lang w:val="en-GB"/>
        </w:rPr>
      </w:pPr>
    </w:p>
    <w:p w14:paraId="4AFB0A29" w14:textId="77777777" w:rsidR="007E5B19" w:rsidRDefault="007E5B19" w:rsidP="007E5B19">
      <w:pPr>
        <w:pStyle w:val="ESTAT-FigureNumber"/>
        <w:rPr>
          <w:lang w:val="en-GB"/>
        </w:rPr>
      </w:pPr>
      <w:r w:rsidRPr="00525E7C">
        <w:rPr>
          <w:lang w:val="en-GB"/>
        </w:rPr>
        <w:t>Table 9.</w:t>
      </w:r>
      <w:r w:rsidRPr="00525E7C">
        <w:rPr>
          <w:lang w:val="en-GB"/>
        </w:rPr>
        <w:fldChar w:fldCharType="begin"/>
      </w:r>
      <w:r w:rsidRPr="00525E7C">
        <w:rPr>
          <w:lang w:val="en-GB"/>
        </w:rPr>
        <w:instrText xml:space="preserve"> SEQ Table_9. \* ARABIC </w:instrText>
      </w:r>
      <w:r w:rsidRPr="00525E7C">
        <w:rPr>
          <w:lang w:val="en-GB"/>
        </w:rPr>
        <w:fldChar w:fldCharType="separate"/>
      </w:r>
      <w:r w:rsidRPr="00525E7C">
        <w:rPr>
          <w:lang w:val="en-GB"/>
        </w:rPr>
        <w:t>1</w:t>
      </w:r>
      <w:r w:rsidRPr="00525E7C">
        <w:rPr>
          <w:lang w:val="en-GB"/>
        </w:rPr>
        <w:fldChar w:fldCharType="end"/>
      </w:r>
      <w:r>
        <w:rPr>
          <w:rFonts w:cs="Arial"/>
          <w:lang w:val="en-GB"/>
        </w:rPr>
        <w:t xml:space="preserve"> </w:t>
      </w:r>
      <w:r w:rsidRPr="00525E7C">
        <w:rPr>
          <w:rFonts w:cs="Arial"/>
        </w:rPr>
        <w:t>Measuring carbon stocks and flows.</w:t>
      </w:r>
    </w:p>
    <w:tbl>
      <w:tblPr>
        <w:tblStyle w:val="EAHandbookdatatable"/>
        <w:tblW w:w="5000" w:type="pct"/>
        <w:tblLook w:val="0620" w:firstRow="1" w:lastRow="0" w:firstColumn="0" w:lastColumn="0" w:noHBand="1" w:noVBand="1"/>
        <w:tblCaption w:val="Measuring carbon stocks and flows"/>
        <w:tblDescription w:val="This table lists and numbers the indicators which can be used to measure carbon stocks and flows. It also includes formulas for combining some of the indicators."/>
      </w:tblPr>
      <w:tblGrid>
        <w:gridCol w:w="1839"/>
        <w:gridCol w:w="8231"/>
      </w:tblGrid>
      <w:tr w:rsidR="007E5B19" w:rsidRPr="00525E7C" w14:paraId="59FE673C" w14:textId="77777777" w:rsidTr="00314D86">
        <w:trPr>
          <w:cnfStyle w:val="100000000000" w:firstRow="1" w:lastRow="0" w:firstColumn="0" w:lastColumn="0" w:oddVBand="0" w:evenVBand="0" w:oddHBand="0" w:evenHBand="0" w:firstRowFirstColumn="0" w:firstRowLastColumn="0" w:lastRowFirstColumn="0" w:lastRowLastColumn="0"/>
          <w:tblHeader/>
        </w:trPr>
        <w:tc>
          <w:tcPr>
            <w:tcW w:w="913" w:type="pct"/>
          </w:tcPr>
          <w:p w14:paraId="1BC1A455" w14:textId="77777777" w:rsidR="007E5B19" w:rsidRPr="00525E7C" w:rsidRDefault="007E5B19" w:rsidP="00314D86">
            <w:pPr>
              <w:pStyle w:val="Tabletext-Heading"/>
              <w:spacing w:beforeLines="60" w:before="144" w:afterLines="60" w:after="144" w:line="276" w:lineRule="auto"/>
              <w:rPr>
                <w:rFonts w:cs="Arial"/>
                <w:b w:val="0"/>
                <w:bCs/>
              </w:rPr>
            </w:pPr>
            <w:r w:rsidRPr="00525E7C">
              <w:rPr>
                <w:rFonts w:cs="Arial"/>
                <w:bCs/>
              </w:rPr>
              <w:t>Numbering and formulas</w:t>
            </w:r>
          </w:p>
        </w:tc>
        <w:tc>
          <w:tcPr>
            <w:tcW w:w="4087" w:type="pct"/>
          </w:tcPr>
          <w:p w14:paraId="6ECA17C2" w14:textId="77777777" w:rsidR="007E5B19" w:rsidRPr="00525E7C" w:rsidRDefault="007E5B19" w:rsidP="00314D86">
            <w:pPr>
              <w:pStyle w:val="Tabletext-Heading"/>
              <w:spacing w:beforeLines="60" w:before="144" w:afterLines="60" w:after="144" w:line="276" w:lineRule="auto"/>
              <w:rPr>
                <w:rFonts w:cs="Arial"/>
                <w:b w:val="0"/>
                <w:bCs/>
              </w:rPr>
            </w:pPr>
            <w:r w:rsidRPr="00525E7C">
              <w:rPr>
                <w:rFonts w:cs="Arial"/>
                <w:bCs/>
              </w:rPr>
              <w:t>Item</w:t>
            </w:r>
          </w:p>
        </w:tc>
      </w:tr>
      <w:tr w:rsidR="007E5B19" w:rsidRPr="00525E7C" w14:paraId="1D30D239" w14:textId="77777777" w:rsidTr="00314D86">
        <w:tc>
          <w:tcPr>
            <w:tcW w:w="913" w:type="pct"/>
            <w:shd w:val="clear" w:color="auto" w:fill="AFDDEA" w:themeFill="accent2" w:themeFillTint="99"/>
          </w:tcPr>
          <w:p w14:paraId="0FCB4915" w14:textId="77777777" w:rsidR="007E5B19" w:rsidRPr="00525E7C" w:rsidRDefault="007E5B19" w:rsidP="00314D86">
            <w:pPr>
              <w:pStyle w:val="Tabletext-centred"/>
              <w:spacing w:beforeLines="60" w:before="144" w:afterLines="60" w:after="144"/>
              <w:rPr>
                <w:rFonts w:cs="Arial"/>
              </w:rPr>
            </w:pPr>
            <w:r w:rsidRPr="00525E7C">
              <w:rPr>
                <w:rFonts w:cs="Arial"/>
              </w:rPr>
              <w:t>1</w:t>
            </w:r>
          </w:p>
          <w:p w14:paraId="04BF6DC5" w14:textId="77777777" w:rsidR="007E5B19" w:rsidRPr="00525E7C" w:rsidRDefault="007E5B19" w:rsidP="00314D86">
            <w:pPr>
              <w:pStyle w:val="Tabletext-centred"/>
              <w:spacing w:beforeLines="60" w:before="144" w:afterLines="60" w:after="144"/>
              <w:rPr>
                <w:rFonts w:cs="Arial"/>
              </w:rPr>
            </w:pPr>
            <w:r w:rsidRPr="00525E7C">
              <w:rPr>
                <w:rFonts w:cs="Arial"/>
              </w:rPr>
              <w:t>(= closing stock at the end of previous reference year)</w:t>
            </w:r>
          </w:p>
        </w:tc>
        <w:tc>
          <w:tcPr>
            <w:tcW w:w="4087" w:type="pct"/>
          </w:tcPr>
          <w:p w14:paraId="3EE2C874" w14:textId="77777777" w:rsidR="007E5B19" w:rsidRPr="00525E7C" w:rsidRDefault="007E5B19" w:rsidP="00314D86">
            <w:pPr>
              <w:pStyle w:val="Tabletext-left"/>
              <w:spacing w:beforeLines="60" w:before="144" w:afterLines="60" w:after="144"/>
              <w:rPr>
                <w:rFonts w:cs="Arial"/>
              </w:rPr>
            </w:pPr>
            <w:r w:rsidRPr="00525E7C">
              <w:rPr>
                <w:rFonts w:cs="Arial"/>
              </w:rPr>
              <w:t>Carbon retention in the ecosystem at the beginning of the reference year (opening stock) (up to 0.3 m soil depth)</w:t>
            </w:r>
          </w:p>
        </w:tc>
      </w:tr>
      <w:tr w:rsidR="007E5B19" w:rsidRPr="00525E7C" w14:paraId="38788773" w14:textId="77777777" w:rsidTr="00314D86">
        <w:tc>
          <w:tcPr>
            <w:tcW w:w="913" w:type="pct"/>
            <w:shd w:val="clear" w:color="auto" w:fill="AFDDEA" w:themeFill="accent2" w:themeFillTint="99"/>
          </w:tcPr>
          <w:p w14:paraId="74FDA481" w14:textId="77777777" w:rsidR="007E5B19" w:rsidRPr="00525E7C" w:rsidRDefault="007E5B19" w:rsidP="00314D86">
            <w:pPr>
              <w:pStyle w:val="Tabletext-centred"/>
              <w:spacing w:beforeLines="60" w:before="144" w:afterLines="60" w:after="144"/>
              <w:rPr>
                <w:rFonts w:cs="Arial"/>
                <w:i/>
              </w:rPr>
            </w:pPr>
            <w:r w:rsidRPr="00525E7C">
              <w:rPr>
                <w:rFonts w:cs="Arial"/>
                <w:i/>
              </w:rPr>
              <w:t>2</w:t>
            </w:r>
          </w:p>
        </w:tc>
        <w:tc>
          <w:tcPr>
            <w:tcW w:w="4087" w:type="pct"/>
          </w:tcPr>
          <w:p w14:paraId="419CD3DC" w14:textId="77777777" w:rsidR="007E5B19" w:rsidRPr="00525E7C" w:rsidRDefault="007E5B19" w:rsidP="00314D86">
            <w:pPr>
              <w:pStyle w:val="Tabletext-left"/>
              <w:spacing w:beforeLines="60" w:before="144" w:afterLines="60" w:after="144"/>
              <w:rPr>
                <w:rFonts w:cs="Arial"/>
                <w:iCs/>
              </w:rPr>
            </w:pPr>
            <w:r w:rsidRPr="00525E7C">
              <w:rPr>
                <w:rFonts w:cs="Arial"/>
                <w:iCs/>
              </w:rPr>
              <w:t>Photosynthesis (i.e. Gross Primary Production)</w:t>
            </w:r>
          </w:p>
        </w:tc>
      </w:tr>
      <w:tr w:rsidR="007E5B19" w:rsidRPr="00525E7C" w14:paraId="42065727" w14:textId="77777777" w:rsidTr="00314D86">
        <w:tc>
          <w:tcPr>
            <w:tcW w:w="913" w:type="pct"/>
            <w:shd w:val="clear" w:color="auto" w:fill="AFDDEA" w:themeFill="accent2" w:themeFillTint="99"/>
          </w:tcPr>
          <w:p w14:paraId="02F1092B" w14:textId="77777777" w:rsidR="007E5B19" w:rsidRPr="00525E7C" w:rsidRDefault="007E5B19" w:rsidP="00314D86">
            <w:pPr>
              <w:pStyle w:val="Tabletext-centred"/>
              <w:spacing w:beforeLines="60" w:before="144" w:afterLines="60" w:after="144"/>
              <w:rPr>
                <w:rFonts w:cs="Arial"/>
                <w:i/>
              </w:rPr>
            </w:pPr>
            <w:r w:rsidRPr="00525E7C">
              <w:rPr>
                <w:rFonts w:cs="Arial"/>
                <w:i/>
              </w:rPr>
              <w:t>3</w:t>
            </w:r>
          </w:p>
        </w:tc>
        <w:tc>
          <w:tcPr>
            <w:tcW w:w="4087" w:type="pct"/>
          </w:tcPr>
          <w:p w14:paraId="73F9678C" w14:textId="77777777" w:rsidR="007E5B19" w:rsidRPr="00525E7C" w:rsidRDefault="007E5B19" w:rsidP="00314D86">
            <w:pPr>
              <w:pStyle w:val="Tabletext-left"/>
              <w:spacing w:beforeLines="60" w:before="144" w:afterLines="60" w:after="144"/>
              <w:rPr>
                <w:rFonts w:cs="Arial"/>
                <w:iCs/>
                <w:vertAlign w:val="superscript"/>
              </w:rPr>
            </w:pPr>
            <w:r w:rsidRPr="00525E7C">
              <w:rPr>
                <w:rFonts w:cs="Arial"/>
                <w:iCs/>
              </w:rPr>
              <w:t>Plant respiration (‘negative number’)</w:t>
            </w:r>
          </w:p>
        </w:tc>
      </w:tr>
      <w:tr w:rsidR="007E5B19" w:rsidRPr="00525E7C" w14:paraId="3F11F41B" w14:textId="77777777" w:rsidTr="00314D86">
        <w:tc>
          <w:tcPr>
            <w:tcW w:w="913" w:type="pct"/>
            <w:shd w:val="clear" w:color="auto" w:fill="AFDDEA" w:themeFill="accent2" w:themeFillTint="99"/>
          </w:tcPr>
          <w:p w14:paraId="084A5627" w14:textId="77777777" w:rsidR="007E5B19" w:rsidRPr="00525E7C" w:rsidRDefault="007E5B19" w:rsidP="00314D86">
            <w:pPr>
              <w:pStyle w:val="Tabletext-centred"/>
              <w:spacing w:beforeLines="60" w:before="144" w:afterLines="60" w:after="144"/>
              <w:rPr>
                <w:rFonts w:cs="Arial"/>
                <w:i/>
              </w:rPr>
            </w:pPr>
            <w:r w:rsidRPr="00525E7C">
              <w:rPr>
                <w:rFonts w:cs="Arial"/>
                <w:i/>
              </w:rPr>
              <w:t>4 (=2+3)</w:t>
            </w:r>
          </w:p>
        </w:tc>
        <w:tc>
          <w:tcPr>
            <w:tcW w:w="4087" w:type="pct"/>
          </w:tcPr>
          <w:p w14:paraId="26D7C79F" w14:textId="77777777" w:rsidR="007E5B19" w:rsidRPr="00525E7C" w:rsidRDefault="007E5B19" w:rsidP="00314D86">
            <w:pPr>
              <w:pStyle w:val="Tabletext-left"/>
              <w:spacing w:beforeLines="60" w:before="144" w:afterLines="60" w:after="144"/>
              <w:rPr>
                <w:rFonts w:cs="Arial"/>
                <w:iCs/>
              </w:rPr>
            </w:pPr>
            <w:r w:rsidRPr="00525E7C">
              <w:rPr>
                <w:rFonts w:cs="Arial"/>
                <w:iCs/>
              </w:rPr>
              <w:t xml:space="preserve">Net Primary Production (NPP) </w:t>
            </w:r>
          </w:p>
        </w:tc>
      </w:tr>
      <w:tr w:rsidR="007E5B19" w:rsidRPr="00525E7C" w14:paraId="74CA9A70" w14:textId="77777777" w:rsidTr="00314D86">
        <w:tc>
          <w:tcPr>
            <w:tcW w:w="913" w:type="pct"/>
            <w:shd w:val="clear" w:color="auto" w:fill="AFDDEA" w:themeFill="accent2" w:themeFillTint="99"/>
          </w:tcPr>
          <w:p w14:paraId="2ECE8561" w14:textId="77777777" w:rsidR="007E5B19" w:rsidRPr="00525E7C" w:rsidRDefault="007E5B19" w:rsidP="00314D86">
            <w:pPr>
              <w:pStyle w:val="Tabletext-centred"/>
              <w:spacing w:beforeLines="60" w:before="144" w:afterLines="60" w:after="144"/>
              <w:rPr>
                <w:rFonts w:cs="Arial"/>
                <w:i/>
              </w:rPr>
            </w:pPr>
            <w:r w:rsidRPr="00525E7C">
              <w:rPr>
                <w:rFonts w:cs="Arial"/>
                <w:i/>
              </w:rPr>
              <w:t>5a</w:t>
            </w:r>
          </w:p>
        </w:tc>
        <w:tc>
          <w:tcPr>
            <w:tcW w:w="4087" w:type="pct"/>
          </w:tcPr>
          <w:p w14:paraId="43DF9E59" w14:textId="77777777" w:rsidR="007E5B19" w:rsidRPr="00525E7C" w:rsidRDefault="007E5B19" w:rsidP="00314D86">
            <w:pPr>
              <w:pStyle w:val="Tabletext-left"/>
              <w:spacing w:beforeLines="60" w:before="144" w:afterLines="60" w:after="144"/>
              <w:rPr>
                <w:rFonts w:cs="Arial"/>
                <w:iCs/>
              </w:rPr>
            </w:pPr>
            <w:r w:rsidRPr="00525E7C">
              <w:rPr>
                <w:rFonts w:cs="Arial"/>
                <w:iCs/>
              </w:rPr>
              <w:t>Heterotrophic respiration (decomposition) (‘negative number’)</w:t>
            </w:r>
          </w:p>
        </w:tc>
      </w:tr>
      <w:tr w:rsidR="007E5B19" w:rsidRPr="00525E7C" w14:paraId="5FBAFA8B" w14:textId="77777777" w:rsidTr="00314D86">
        <w:tc>
          <w:tcPr>
            <w:tcW w:w="913" w:type="pct"/>
            <w:shd w:val="clear" w:color="auto" w:fill="AFDDEA" w:themeFill="accent2" w:themeFillTint="99"/>
          </w:tcPr>
          <w:p w14:paraId="1B93C04A" w14:textId="77777777" w:rsidR="007E5B19" w:rsidRPr="00525E7C" w:rsidRDefault="007E5B19" w:rsidP="00314D86">
            <w:pPr>
              <w:pStyle w:val="Tabletext-centred"/>
              <w:spacing w:beforeLines="60" w:before="144" w:afterLines="60" w:after="144"/>
              <w:rPr>
                <w:rFonts w:cs="Arial"/>
                <w:i/>
              </w:rPr>
            </w:pPr>
            <w:r w:rsidRPr="00525E7C">
              <w:rPr>
                <w:rFonts w:cs="Arial"/>
                <w:i/>
              </w:rPr>
              <w:t>5b</w:t>
            </w:r>
          </w:p>
        </w:tc>
        <w:tc>
          <w:tcPr>
            <w:tcW w:w="4087" w:type="pct"/>
          </w:tcPr>
          <w:p w14:paraId="0E448544" w14:textId="77777777" w:rsidR="007E5B19" w:rsidRPr="00525E7C" w:rsidRDefault="007E5B19" w:rsidP="00314D86">
            <w:pPr>
              <w:pStyle w:val="Tabletext-left"/>
              <w:spacing w:beforeLines="60" w:before="144" w:afterLines="60" w:after="144"/>
              <w:rPr>
                <w:rFonts w:cs="Arial"/>
                <w:iCs/>
              </w:rPr>
            </w:pPr>
            <w:r w:rsidRPr="00525E7C">
              <w:rPr>
                <w:rFonts w:cs="Arial"/>
                <w:iCs/>
              </w:rPr>
              <w:t>NPP in annual crops, including annual grazed biomass</w:t>
            </w:r>
          </w:p>
          <w:p w14:paraId="75B945E3" w14:textId="77777777" w:rsidR="007E5B19" w:rsidRPr="00525E7C" w:rsidRDefault="007E5B19" w:rsidP="00314D86">
            <w:pPr>
              <w:pStyle w:val="Tabletext-left"/>
              <w:spacing w:beforeLines="60" w:before="144" w:afterLines="60" w:after="144"/>
              <w:rPr>
                <w:rFonts w:cs="Arial"/>
                <w:iCs/>
              </w:rPr>
            </w:pPr>
            <w:r w:rsidRPr="00525E7C">
              <w:rPr>
                <w:rFonts w:cs="Arial"/>
                <w:iCs/>
              </w:rPr>
              <w:t xml:space="preserve">(‘negative number’; deduction in line with paragraph  </w:t>
            </w:r>
            <w:r w:rsidRPr="00525E7C">
              <w:rPr>
                <w:rFonts w:cs="Arial"/>
                <w:iCs/>
              </w:rPr>
              <w:fldChar w:fldCharType="begin"/>
            </w:r>
            <w:r w:rsidRPr="00525E7C">
              <w:rPr>
                <w:rFonts w:cs="Arial"/>
                <w:iCs/>
              </w:rPr>
              <w:instrText xml:space="preserve"> REF _Ref222673315 \r \h </w:instrText>
            </w:r>
            <w:r>
              <w:rPr>
                <w:rFonts w:cs="Arial"/>
                <w:iCs/>
              </w:rPr>
              <w:instrText xml:space="preserve"> \* MERGEFORMAT </w:instrText>
            </w:r>
            <w:r w:rsidRPr="00525E7C">
              <w:rPr>
                <w:rFonts w:cs="Arial"/>
                <w:iCs/>
              </w:rPr>
            </w:r>
            <w:r w:rsidRPr="00525E7C">
              <w:rPr>
                <w:rFonts w:cs="Arial"/>
                <w:iCs/>
              </w:rPr>
              <w:fldChar w:fldCharType="separate"/>
            </w:r>
            <w:r w:rsidRPr="00525E7C">
              <w:rPr>
                <w:rFonts w:cs="Arial"/>
                <w:iCs/>
              </w:rPr>
              <w:t>9.4</w:t>
            </w:r>
            <w:r w:rsidRPr="00525E7C">
              <w:rPr>
                <w:rFonts w:cs="Arial"/>
                <w:iCs/>
              </w:rPr>
              <w:fldChar w:fldCharType="end"/>
            </w:r>
            <w:r w:rsidRPr="00525E7C">
              <w:rPr>
                <w:rFonts w:cs="Arial"/>
                <w:iCs/>
              </w:rPr>
              <w:t>)</w:t>
            </w:r>
          </w:p>
        </w:tc>
      </w:tr>
      <w:tr w:rsidR="007E5B19" w:rsidRPr="00525E7C" w14:paraId="448490EE" w14:textId="77777777" w:rsidTr="00314D86">
        <w:trPr>
          <w:trHeight w:val="911"/>
        </w:trPr>
        <w:tc>
          <w:tcPr>
            <w:tcW w:w="913" w:type="pct"/>
            <w:shd w:val="clear" w:color="auto" w:fill="AFDDEA" w:themeFill="accent2" w:themeFillTint="99"/>
          </w:tcPr>
          <w:p w14:paraId="232A81B0" w14:textId="77777777" w:rsidR="007E5B19" w:rsidRPr="00525E7C" w:rsidRDefault="007E5B19" w:rsidP="00314D86">
            <w:pPr>
              <w:pStyle w:val="Tabletext-centred"/>
              <w:spacing w:beforeLines="60" w:before="144" w:afterLines="60" w:after="144"/>
              <w:rPr>
                <w:rFonts w:cs="Arial"/>
                <w:i/>
                <w:iCs/>
              </w:rPr>
            </w:pPr>
            <w:r w:rsidRPr="00525E7C">
              <w:rPr>
                <w:rFonts w:cs="Arial"/>
                <w:bCs/>
              </w:rPr>
              <w:t>6 (= 4+5a+5b)</w:t>
            </w:r>
          </w:p>
        </w:tc>
        <w:tc>
          <w:tcPr>
            <w:tcW w:w="4087" w:type="pct"/>
          </w:tcPr>
          <w:p w14:paraId="30BDF296" w14:textId="77777777" w:rsidR="007E5B19" w:rsidRPr="00525E7C" w:rsidRDefault="007E5B19" w:rsidP="00314D86">
            <w:pPr>
              <w:pStyle w:val="Tabletext-left"/>
              <w:spacing w:beforeLines="60" w:before="144" w:afterLines="60" w:after="144"/>
              <w:rPr>
                <w:rFonts w:cs="Arial"/>
                <w:bCs/>
                <w:iCs/>
              </w:rPr>
            </w:pPr>
            <w:r w:rsidRPr="00525E7C">
              <w:rPr>
                <w:rFonts w:cs="Arial"/>
                <w:bCs/>
                <w:iCs/>
              </w:rPr>
              <w:t xml:space="preserve">Primary carbon sequestration </w:t>
            </w:r>
          </w:p>
          <w:p w14:paraId="0210406F" w14:textId="77777777" w:rsidR="007E5B19" w:rsidRPr="00525E7C" w:rsidRDefault="007E5B19" w:rsidP="00314D86">
            <w:pPr>
              <w:pStyle w:val="Tabletext-left"/>
              <w:spacing w:beforeLines="60" w:before="144" w:afterLines="60" w:after="144"/>
              <w:rPr>
                <w:rFonts w:cs="Arial"/>
                <w:b/>
                <w:iCs/>
              </w:rPr>
            </w:pPr>
            <w:r w:rsidRPr="00525E7C">
              <w:rPr>
                <w:rFonts w:cs="Arial"/>
                <w:bCs/>
                <w:iCs/>
              </w:rPr>
              <w:lastRenderedPageBreak/>
              <w:t>This variable represents the carbon sequestration component of the ecosystem service in the sense of SEEA EA.</w:t>
            </w:r>
          </w:p>
        </w:tc>
      </w:tr>
      <w:tr w:rsidR="007E5B19" w:rsidRPr="00525E7C" w14:paraId="02D56BBA" w14:textId="77777777" w:rsidTr="00314D86">
        <w:trPr>
          <w:trHeight w:val="911"/>
        </w:trPr>
        <w:tc>
          <w:tcPr>
            <w:tcW w:w="913" w:type="pct"/>
            <w:shd w:val="clear" w:color="auto" w:fill="AFDDEA" w:themeFill="accent2" w:themeFillTint="99"/>
          </w:tcPr>
          <w:p w14:paraId="2CB8D38E" w14:textId="77777777" w:rsidR="007E5B19" w:rsidRPr="00525E7C" w:rsidRDefault="007E5B19" w:rsidP="00314D86">
            <w:pPr>
              <w:pStyle w:val="Tabletext-centred"/>
              <w:spacing w:beforeLines="60" w:before="144" w:afterLines="60" w:after="144"/>
              <w:rPr>
                <w:rFonts w:cs="Arial"/>
                <w:bCs/>
              </w:rPr>
            </w:pPr>
            <w:r w:rsidRPr="00525E7C">
              <w:rPr>
                <w:rFonts w:cs="Arial"/>
                <w:bCs/>
              </w:rPr>
              <w:lastRenderedPageBreak/>
              <w:t>7</w:t>
            </w:r>
          </w:p>
        </w:tc>
        <w:tc>
          <w:tcPr>
            <w:tcW w:w="4087" w:type="pct"/>
          </w:tcPr>
          <w:p w14:paraId="4998B7F1" w14:textId="77777777" w:rsidR="007E5B19" w:rsidRPr="00525E7C" w:rsidRDefault="007E5B19" w:rsidP="00314D86">
            <w:pPr>
              <w:pStyle w:val="Tabletext-left"/>
              <w:spacing w:beforeLines="60" w:before="144" w:afterLines="60" w:after="144"/>
              <w:rPr>
                <w:rFonts w:cs="Arial"/>
                <w:bCs/>
              </w:rPr>
            </w:pPr>
            <w:r w:rsidRPr="00525E7C">
              <w:rPr>
                <w:rFonts w:cs="Arial"/>
                <w:bCs/>
              </w:rPr>
              <w:t>Carbon emissions due to land use change (LUC</w:t>
            </w:r>
            <w:r w:rsidRPr="00525E7C">
              <w:rPr>
                <w:rFonts w:cs="Arial"/>
              </w:rPr>
              <w:t xml:space="preserve">) as occurring within the reported year </w:t>
            </w:r>
            <w:r w:rsidRPr="00525E7C">
              <w:rPr>
                <w:rFonts w:cs="Arial"/>
                <w:bCs/>
              </w:rPr>
              <w:t>(e.g., in case of conversion of forest to cropland). In this case, however, carbon additions are recorded as primary carbon sequestration in forest land and not attributed to LUC.</w:t>
            </w:r>
            <w:r w:rsidRPr="00525E7C">
              <w:rPr>
                <w:rFonts w:ascii="ZWAdobeF" w:hAnsi="ZWAdobeF" w:cs="ZWAdobeF"/>
                <w:bCs/>
                <w:sz w:val="2"/>
                <w:szCs w:val="2"/>
              </w:rPr>
              <w:t>81F</w:t>
            </w:r>
            <w:r w:rsidRPr="00525E7C">
              <w:rPr>
                <w:rStyle w:val="FootnoteReference"/>
              </w:rPr>
              <w:footnoteReference w:id="2"/>
            </w:r>
            <w:r w:rsidRPr="00525E7C">
              <w:rPr>
                <w:rFonts w:cs="Arial"/>
                <w:bCs/>
              </w:rPr>
              <w:t xml:space="preserve"> </w:t>
            </w:r>
          </w:p>
        </w:tc>
      </w:tr>
      <w:tr w:rsidR="007E5B19" w:rsidRPr="00525E7C" w14:paraId="789ACC82" w14:textId="77777777" w:rsidTr="00314D86">
        <w:trPr>
          <w:trHeight w:val="911"/>
        </w:trPr>
        <w:tc>
          <w:tcPr>
            <w:tcW w:w="913" w:type="pct"/>
            <w:shd w:val="clear" w:color="auto" w:fill="AFDDEA" w:themeFill="accent2" w:themeFillTint="99"/>
          </w:tcPr>
          <w:p w14:paraId="50926382" w14:textId="77777777" w:rsidR="007E5B19" w:rsidRPr="00525E7C" w:rsidRDefault="007E5B19" w:rsidP="00314D86">
            <w:pPr>
              <w:pStyle w:val="Tabletext-centred"/>
              <w:rPr>
                <w:rFonts w:cs="Arial"/>
              </w:rPr>
            </w:pPr>
            <w:r w:rsidRPr="00525E7C">
              <w:rPr>
                <w:rFonts w:cs="Arial"/>
              </w:rPr>
              <w:t>8</w:t>
            </w:r>
          </w:p>
        </w:tc>
        <w:tc>
          <w:tcPr>
            <w:tcW w:w="4087" w:type="pct"/>
          </w:tcPr>
          <w:p w14:paraId="1B006120" w14:textId="77777777" w:rsidR="007E5B19" w:rsidRPr="00525E7C" w:rsidRDefault="007E5B19" w:rsidP="00314D86">
            <w:pPr>
              <w:pStyle w:val="Tabletext-left"/>
              <w:rPr>
                <w:rFonts w:cs="Arial"/>
                <w:bCs/>
                <w:iCs/>
              </w:rPr>
            </w:pPr>
            <w:r w:rsidRPr="00525E7C">
              <w:rPr>
                <w:rFonts w:cs="Arial"/>
                <w:iCs/>
              </w:rPr>
              <w:t>Carbon emissions from ecosystems due to disturbances</w:t>
            </w:r>
            <w:r w:rsidRPr="00525E7C">
              <w:rPr>
                <w:rFonts w:ascii="ZWAdobeF" w:hAnsi="ZWAdobeF" w:cs="ZWAdobeF"/>
                <w:iCs/>
                <w:sz w:val="2"/>
                <w:szCs w:val="2"/>
              </w:rPr>
              <w:t>82F</w:t>
            </w:r>
            <w:r w:rsidRPr="00525E7C">
              <w:rPr>
                <w:rStyle w:val="FootnoteReference"/>
                <w:iCs/>
              </w:rPr>
              <w:footnoteReference w:id="3"/>
            </w:r>
            <w:r w:rsidRPr="00525E7C">
              <w:rPr>
                <w:rFonts w:cs="Arial"/>
                <w:iCs/>
              </w:rPr>
              <w:t xml:space="preserve"> (e.g., wild-fire, controlled burning) (‘negative number’)</w:t>
            </w:r>
          </w:p>
        </w:tc>
      </w:tr>
      <w:tr w:rsidR="007E5B19" w:rsidRPr="00525E7C" w14:paraId="27E0B463" w14:textId="77777777" w:rsidTr="00314D86">
        <w:trPr>
          <w:trHeight w:val="911"/>
        </w:trPr>
        <w:tc>
          <w:tcPr>
            <w:tcW w:w="913" w:type="pct"/>
            <w:shd w:val="clear" w:color="auto" w:fill="AFDDEA" w:themeFill="accent2" w:themeFillTint="99"/>
          </w:tcPr>
          <w:p w14:paraId="65A486CB" w14:textId="77777777" w:rsidR="007E5B19" w:rsidRPr="00525E7C" w:rsidRDefault="007E5B19" w:rsidP="00314D86">
            <w:pPr>
              <w:pStyle w:val="Tabletext-centred"/>
              <w:rPr>
                <w:rFonts w:cs="Arial"/>
              </w:rPr>
            </w:pPr>
            <w:r w:rsidRPr="00525E7C">
              <w:rPr>
                <w:rFonts w:cs="Arial"/>
              </w:rPr>
              <w:t>8a</w:t>
            </w:r>
          </w:p>
        </w:tc>
        <w:tc>
          <w:tcPr>
            <w:tcW w:w="4087" w:type="pct"/>
          </w:tcPr>
          <w:p w14:paraId="73D4056A" w14:textId="77777777" w:rsidR="007E5B19" w:rsidRPr="00525E7C" w:rsidRDefault="007E5B19" w:rsidP="00314D86">
            <w:pPr>
              <w:pStyle w:val="Tabletext-left"/>
              <w:ind w:left="720"/>
              <w:rPr>
                <w:rFonts w:cs="Arial"/>
                <w:bCs/>
                <w:iCs/>
              </w:rPr>
            </w:pPr>
            <w:r w:rsidRPr="00525E7C">
              <w:rPr>
                <w:rFonts w:cs="Arial"/>
                <w:iCs/>
              </w:rPr>
              <w:t>Of which: due to peat soil oxidation (‘negative number’)</w:t>
            </w:r>
          </w:p>
        </w:tc>
      </w:tr>
      <w:tr w:rsidR="007E5B19" w:rsidRPr="00525E7C" w14:paraId="347CD29B" w14:textId="77777777" w:rsidTr="00314D86">
        <w:trPr>
          <w:trHeight w:val="911"/>
        </w:trPr>
        <w:tc>
          <w:tcPr>
            <w:tcW w:w="913" w:type="pct"/>
            <w:shd w:val="clear" w:color="auto" w:fill="AFDDEA" w:themeFill="accent2" w:themeFillTint="99"/>
          </w:tcPr>
          <w:p w14:paraId="7274FD9F" w14:textId="77777777" w:rsidR="007E5B19" w:rsidRPr="00525E7C" w:rsidRDefault="007E5B19" w:rsidP="00314D86">
            <w:pPr>
              <w:pStyle w:val="Tabletext-centred"/>
              <w:rPr>
                <w:rFonts w:cs="Arial"/>
              </w:rPr>
            </w:pPr>
            <w:r w:rsidRPr="00525E7C">
              <w:rPr>
                <w:rFonts w:cs="Arial"/>
              </w:rPr>
              <w:t>8b</w:t>
            </w:r>
          </w:p>
          <w:p w14:paraId="0D32BDCB" w14:textId="77777777" w:rsidR="007E5B19" w:rsidRPr="00525E7C" w:rsidRDefault="007E5B19" w:rsidP="00314D86">
            <w:pPr>
              <w:pStyle w:val="Tabletext-centred"/>
              <w:rPr>
                <w:rFonts w:cs="Arial"/>
              </w:rPr>
            </w:pPr>
          </w:p>
        </w:tc>
        <w:tc>
          <w:tcPr>
            <w:tcW w:w="4087" w:type="pct"/>
          </w:tcPr>
          <w:p w14:paraId="6EA7BFFA" w14:textId="77777777" w:rsidR="007E5B19" w:rsidRPr="00525E7C" w:rsidRDefault="007E5B19" w:rsidP="00314D86">
            <w:pPr>
              <w:pStyle w:val="Tabletext-left"/>
              <w:ind w:left="720"/>
              <w:rPr>
                <w:rFonts w:cs="Arial"/>
                <w:bCs/>
                <w:iCs/>
              </w:rPr>
            </w:pPr>
            <w:r w:rsidRPr="00525E7C">
              <w:rPr>
                <w:rFonts w:cs="Arial"/>
                <w:iCs/>
              </w:rPr>
              <w:t xml:space="preserve">Of which: due to wildfire, controlled burning and other human causes (excluding peat soil oxidation) (‘negative number’) </w:t>
            </w:r>
          </w:p>
        </w:tc>
      </w:tr>
      <w:tr w:rsidR="007E5B19" w:rsidRPr="00525E7C" w14:paraId="1B6129A5" w14:textId="77777777" w:rsidTr="00314D86">
        <w:trPr>
          <w:trHeight w:val="911"/>
        </w:trPr>
        <w:tc>
          <w:tcPr>
            <w:tcW w:w="913" w:type="pct"/>
            <w:shd w:val="clear" w:color="auto" w:fill="AFDDEA" w:themeFill="accent2" w:themeFillTint="99"/>
          </w:tcPr>
          <w:p w14:paraId="33A856A8" w14:textId="77777777" w:rsidR="007E5B19" w:rsidRPr="00525E7C" w:rsidRDefault="007E5B19" w:rsidP="00314D86">
            <w:pPr>
              <w:pStyle w:val="Tabletext-centred"/>
              <w:rPr>
                <w:rFonts w:cs="Arial"/>
              </w:rPr>
            </w:pPr>
            <w:r w:rsidRPr="00525E7C">
              <w:rPr>
                <w:rFonts w:cs="Arial"/>
              </w:rPr>
              <w:t>9</w:t>
            </w:r>
          </w:p>
        </w:tc>
        <w:tc>
          <w:tcPr>
            <w:tcW w:w="4087" w:type="pct"/>
          </w:tcPr>
          <w:p w14:paraId="5C113668" w14:textId="77777777" w:rsidR="007E5B19" w:rsidRPr="00525E7C" w:rsidRDefault="007E5B19" w:rsidP="00314D86">
            <w:pPr>
              <w:pStyle w:val="Tabletext-left"/>
              <w:rPr>
                <w:rFonts w:cs="Arial"/>
                <w:bCs/>
                <w:iCs/>
              </w:rPr>
            </w:pPr>
            <w:r w:rsidRPr="00525E7C">
              <w:rPr>
                <w:rFonts w:cs="Arial"/>
                <w:iCs/>
              </w:rPr>
              <w:t>Carbon removals from ecosystems due to wood harvest and other clearings of perennial biomass (‘negative number’)</w:t>
            </w:r>
          </w:p>
        </w:tc>
      </w:tr>
      <w:tr w:rsidR="007E5B19" w:rsidRPr="00525E7C" w14:paraId="2168EA62" w14:textId="77777777" w:rsidTr="00314D86">
        <w:trPr>
          <w:trHeight w:val="911"/>
        </w:trPr>
        <w:tc>
          <w:tcPr>
            <w:tcW w:w="913" w:type="pct"/>
            <w:shd w:val="clear" w:color="auto" w:fill="AFDDEA" w:themeFill="accent2" w:themeFillTint="99"/>
          </w:tcPr>
          <w:p w14:paraId="79876E10" w14:textId="77777777" w:rsidR="007E5B19" w:rsidRPr="00525E7C" w:rsidRDefault="007E5B19" w:rsidP="00314D86">
            <w:pPr>
              <w:pStyle w:val="Tabletext-centred"/>
              <w:rPr>
                <w:rFonts w:cs="Arial"/>
              </w:rPr>
            </w:pPr>
            <w:r w:rsidRPr="00525E7C">
              <w:rPr>
                <w:rFonts w:cs="Arial"/>
                <w:b/>
              </w:rPr>
              <w:t>10 (=6+7+8+9)</w:t>
            </w:r>
          </w:p>
        </w:tc>
        <w:tc>
          <w:tcPr>
            <w:tcW w:w="4087" w:type="pct"/>
          </w:tcPr>
          <w:p w14:paraId="5B9654D2" w14:textId="77777777" w:rsidR="007E5B19" w:rsidRPr="00525E7C" w:rsidRDefault="007E5B19" w:rsidP="00314D86">
            <w:pPr>
              <w:pStyle w:val="Tabletext-left"/>
              <w:rPr>
                <w:rFonts w:cs="Arial"/>
                <w:bCs/>
              </w:rPr>
            </w:pPr>
            <w:r w:rsidRPr="00525E7C">
              <w:rPr>
                <w:rFonts w:cs="Arial"/>
                <w:b/>
              </w:rPr>
              <w:t xml:space="preserve">Net carbon sequestration </w:t>
            </w:r>
            <w:r w:rsidRPr="00525E7C">
              <w:rPr>
                <w:rFonts w:cs="Arial"/>
                <w:bCs/>
              </w:rPr>
              <w:t>(or ‘net removals’)</w:t>
            </w:r>
            <w:r w:rsidRPr="00525E7C">
              <w:rPr>
                <w:rFonts w:cs="Arial"/>
                <w:b/>
              </w:rPr>
              <w:t xml:space="preserve"> </w:t>
            </w:r>
            <w:r w:rsidRPr="00525E7C">
              <w:rPr>
                <w:rFonts w:cs="Arial"/>
                <w:bCs/>
              </w:rPr>
              <w:t xml:space="preserve">(during the accounting period) </w:t>
            </w:r>
          </w:p>
          <w:p w14:paraId="3140E39E" w14:textId="77777777" w:rsidR="007E5B19" w:rsidRPr="00525E7C" w:rsidRDefault="007E5B19" w:rsidP="00314D86">
            <w:pPr>
              <w:pStyle w:val="Tabletext-left"/>
              <w:rPr>
                <w:rFonts w:cs="Arial"/>
                <w:bCs/>
              </w:rPr>
            </w:pPr>
            <w:r w:rsidRPr="00525E7C">
              <w:rPr>
                <w:rFonts w:cs="Arial"/>
                <w:bCs/>
              </w:rPr>
              <w:t>This is the derived indicator considering both primary carbon sequestration by ecosystems and natural and human-induced emissions from ecosystems including catastrophic losses.</w:t>
            </w:r>
          </w:p>
        </w:tc>
      </w:tr>
      <w:tr w:rsidR="007E5B19" w:rsidRPr="00525E7C" w14:paraId="0221D510" w14:textId="77777777" w:rsidTr="00314D86">
        <w:trPr>
          <w:trHeight w:val="911"/>
        </w:trPr>
        <w:tc>
          <w:tcPr>
            <w:tcW w:w="913" w:type="pct"/>
            <w:shd w:val="clear" w:color="auto" w:fill="AFDDEA" w:themeFill="accent2" w:themeFillTint="99"/>
          </w:tcPr>
          <w:p w14:paraId="50F47E1A" w14:textId="77777777" w:rsidR="007E5B19" w:rsidRPr="00525E7C" w:rsidRDefault="007E5B19" w:rsidP="00314D86">
            <w:pPr>
              <w:pStyle w:val="Tabletext-centred"/>
              <w:rPr>
                <w:rFonts w:cs="Arial"/>
              </w:rPr>
            </w:pPr>
            <w:r w:rsidRPr="00525E7C">
              <w:rPr>
                <w:rFonts w:cs="Arial"/>
                <w:b/>
              </w:rPr>
              <w:t>11</w:t>
            </w:r>
          </w:p>
        </w:tc>
        <w:tc>
          <w:tcPr>
            <w:tcW w:w="4087" w:type="pct"/>
          </w:tcPr>
          <w:p w14:paraId="4E9696BE" w14:textId="77777777" w:rsidR="007E5B19" w:rsidRPr="00525E7C" w:rsidRDefault="007E5B19" w:rsidP="00314D86">
            <w:pPr>
              <w:pStyle w:val="Tabletext-left"/>
              <w:rPr>
                <w:rFonts w:cs="Arial"/>
                <w:bCs/>
              </w:rPr>
            </w:pPr>
            <w:r w:rsidRPr="00525E7C">
              <w:rPr>
                <w:rFonts w:cs="Arial"/>
                <w:b/>
              </w:rPr>
              <w:t xml:space="preserve">Carbon retention </w:t>
            </w:r>
            <w:r w:rsidRPr="00525E7C">
              <w:rPr>
                <w:rFonts w:cs="Arial"/>
                <w:bCs/>
              </w:rPr>
              <w:t>is the amount of carbon stored in the ecosystem at the end of the reporting period</w:t>
            </w:r>
            <w:r w:rsidRPr="00525E7C">
              <w:rPr>
                <w:rFonts w:cs="Arial"/>
                <w:b/>
              </w:rPr>
              <w:t xml:space="preserve"> (closing stock</w:t>
            </w:r>
            <w:r w:rsidRPr="00525E7C">
              <w:rPr>
                <w:rFonts w:cs="Arial"/>
                <w:b/>
                <w:bCs/>
                <w:i/>
                <w:iCs/>
              </w:rPr>
              <w:t xml:space="preserve">) </w:t>
            </w:r>
            <w:r w:rsidRPr="00525E7C">
              <w:rPr>
                <w:rFonts w:cs="Arial"/>
                <w:i/>
                <w:iCs/>
              </w:rPr>
              <w:t>(up to 0.3 m soil depth)</w:t>
            </w:r>
            <w:r w:rsidRPr="00525E7C">
              <w:rPr>
                <w:rFonts w:cs="Arial"/>
                <w:bCs/>
                <w:i/>
                <w:iCs/>
              </w:rPr>
              <w:t>.</w:t>
            </w:r>
            <w:r w:rsidRPr="00525E7C">
              <w:rPr>
                <w:rFonts w:cs="Arial"/>
                <w:bCs/>
              </w:rPr>
              <w:t xml:space="preserve"> </w:t>
            </w:r>
          </w:p>
        </w:tc>
      </w:tr>
      <w:tr w:rsidR="007E5B19" w:rsidRPr="00525E7C" w14:paraId="06DB9A47" w14:textId="77777777" w:rsidTr="00314D86">
        <w:trPr>
          <w:trHeight w:val="911"/>
        </w:trPr>
        <w:tc>
          <w:tcPr>
            <w:tcW w:w="913" w:type="pct"/>
            <w:shd w:val="clear" w:color="auto" w:fill="AFDDEA" w:themeFill="accent2" w:themeFillTint="99"/>
          </w:tcPr>
          <w:p w14:paraId="66F778B6" w14:textId="77777777" w:rsidR="007E5B19" w:rsidRPr="00525E7C" w:rsidRDefault="007E5B19" w:rsidP="00314D86">
            <w:pPr>
              <w:pStyle w:val="Tabletext-centred"/>
              <w:rPr>
                <w:rFonts w:cs="Arial"/>
              </w:rPr>
            </w:pPr>
            <w:r w:rsidRPr="00525E7C">
              <w:rPr>
                <w:rFonts w:cs="Arial"/>
                <w:b/>
              </w:rPr>
              <w:t>11a (Δ11=10+11a)</w:t>
            </w:r>
          </w:p>
        </w:tc>
        <w:tc>
          <w:tcPr>
            <w:tcW w:w="4087" w:type="pct"/>
          </w:tcPr>
          <w:p w14:paraId="3EDEDD46" w14:textId="77777777" w:rsidR="007E5B19" w:rsidRPr="00525E7C" w:rsidRDefault="007E5B19" w:rsidP="00314D86">
            <w:pPr>
              <w:pStyle w:val="Tabletext-left"/>
              <w:rPr>
                <w:rFonts w:cs="Arial"/>
                <w:bCs/>
              </w:rPr>
            </w:pPr>
            <w:r w:rsidRPr="00525E7C">
              <w:rPr>
                <w:rFonts w:cs="Arial"/>
              </w:rPr>
              <w:t>Increase in carbon stock due to inclusion of an additional peat layer (this additional peat layer compensates for peat being lost through fire or oxidation and is required to maintain the depth of soil at which C stocks are considered at 30 cm)</w:t>
            </w:r>
            <w:r w:rsidRPr="00525E7C">
              <w:rPr>
                <w:rFonts w:cs="Arial"/>
                <w:b/>
              </w:rPr>
              <w:t xml:space="preserve"> </w:t>
            </w:r>
          </w:p>
        </w:tc>
      </w:tr>
    </w:tbl>
    <w:p w14:paraId="31BA5316" w14:textId="77777777" w:rsidR="007E5B19" w:rsidRDefault="007E5B19" w:rsidP="007E5B19">
      <w:pPr>
        <w:pStyle w:val="Paragraph"/>
        <w:numPr>
          <w:ilvl w:val="0"/>
          <w:numId w:val="0"/>
        </w:numPr>
        <w:ind w:left="714" w:hanging="357"/>
        <w:rPr>
          <w:lang w:val="en-GB"/>
        </w:rPr>
      </w:pPr>
      <w:r>
        <w:rPr>
          <w:lang w:val="en-GB"/>
        </w:rPr>
        <w:t>Source: Eurostat, 2026, Ecosystem Accounts Handbook.</w:t>
      </w:r>
    </w:p>
    <w:p w14:paraId="54123CCC" w14:textId="77777777" w:rsidR="007E5B19" w:rsidRDefault="007E5B19" w:rsidP="007E5B19">
      <w:pPr>
        <w:pStyle w:val="Paragraph"/>
        <w:numPr>
          <w:ilvl w:val="0"/>
          <w:numId w:val="0"/>
        </w:numPr>
        <w:ind w:left="714" w:hanging="357"/>
        <w:rPr>
          <w:lang w:val="en-GB"/>
        </w:rPr>
      </w:pPr>
    </w:p>
    <w:p w14:paraId="7E0C8185" w14:textId="3E1E5BB1" w:rsidR="00C50259" w:rsidRDefault="00FD155D" w:rsidP="002931FB">
      <w:pPr>
        <w:pStyle w:val="Heading1"/>
        <w:rPr>
          <w:lang w:val="en-GB"/>
        </w:rPr>
      </w:pPr>
      <w:bookmarkStart w:id="13" w:name="_Toc239173043"/>
      <w:r>
        <w:rPr>
          <w:lang w:val="en-GB"/>
        </w:rPr>
        <w:lastRenderedPageBreak/>
        <w:t>Conceptual issues on the treatment of c</w:t>
      </w:r>
      <w:r w:rsidR="00C50259">
        <w:rPr>
          <w:lang w:val="en-GB"/>
        </w:rPr>
        <w:t>arbon stocks</w:t>
      </w:r>
      <w:bookmarkEnd w:id="13"/>
    </w:p>
    <w:p w14:paraId="161EB6DB" w14:textId="61419D80" w:rsidR="00F45C78" w:rsidRPr="00F45C78" w:rsidRDefault="00FD155D" w:rsidP="002931FB">
      <w:pPr>
        <w:pStyle w:val="Heading2"/>
        <w:rPr>
          <w:lang w:val="en-GB"/>
        </w:rPr>
      </w:pPr>
      <w:bookmarkStart w:id="14" w:name="_Toc239173044"/>
      <w:r>
        <w:rPr>
          <w:lang w:val="en-GB"/>
        </w:rPr>
        <w:t>Carbon stocks as environmental assets</w:t>
      </w:r>
      <w:bookmarkEnd w:id="14"/>
    </w:p>
    <w:p w14:paraId="328C2CE6" w14:textId="788EA046" w:rsidR="00C67B11" w:rsidRDefault="00C50259" w:rsidP="00C50259">
      <w:pPr>
        <w:pStyle w:val="Paragraph"/>
        <w:rPr>
          <w:lang w:val="en-GB"/>
        </w:rPr>
      </w:pPr>
      <w:r>
        <w:rPr>
          <w:lang w:val="en-GB"/>
        </w:rPr>
        <w:t>A</w:t>
      </w:r>
      <w:r w:rsidR="00C67B11">
        <w:rPr>
          <w:lang w:val="en-GB"/>
        </w:rPr>
        <w:t xml:space="preserve">n </w:t>
      </w:r>
      <w:r w:rsidR="00FA557B">
        <w:rPr>
          <w:lang w:val="en-GB"/>
        </w:rPr>
        <w:t xml:space="preserve">important </w:t>
      </w:r>
      <w:r>
        <w:rPr>
          <w:lang w:val="en-GB"/>
        </w:rPr>
        <w:t>question</w:t>
      </w:r>
      <w:r w:rsidR="00FA557B">
        <w:rPr>
          <w:lang w:val="en-GB"/>
        </w:rPr>
        <w:t xml:space="preserve"> that has arisen</w:t>
      </w:r>
      <w:r>
        <w:rPr>
          <w:lang w:val="en-GB"/>
        </w:rPr>
        <w:t xml:space="preserve"> in considering th</w:t>
      </w:r>
      <w:r w:rsidR="00C67B11">
        <w:rPr>
          <w:lang w:val="en-GB"/>
        </w:rPr>
        <w:t>e proposed</w:t>
      </w:r>
      <w:r>
        <w:rPr>
          <w:lang w:val="en-GB"/>
        </w:rPr>
        <w:t xml:space="preserve"> </w:t>
      </w:r>
      <w:r w:rsidR="00C67B11">
        <w:rPr>
          <w:lang w:val="en-GB"/>
        </w:rPr>
        <w:t xml:space="preserve">inclusion of the carbon stock account in the SEEA CF is whether the carbon stock </w:t>
      </w:r>
      <w:r w:rsidR="00FA4BFC">
        <w:rPr>
          <w:lang w:val="en-GB"/>
        </w:rPr>
        <w:t xml:space="preserve">should be treated as </w:t>
      </w:r>
      <w:r w:rsidR="00C67B11">
        <w:rPr>
          <w:lang w:val="en-GB"/>
        </w:rPr>
        <w:t>an environmental asset</w:t>
      </w:r>
      <w:r w:rsidR="00277A84">
        <w:rPr>
          <w:lang w:val="en-GB"/>
        </w:rPr>
        <w:t>.</w:t>
      </w:r>
      <w:r w:rsidR="00D0236C">
        <w:rPr>
          <w:lang w:val="en-GB"/>
        </w:rPr>
        <w:t xml:space="preserve"> </w:t>
      </w:r>
      <w:r w:rsidR="00FA557B">
        <w:rPr>
          <w:lang w:val="en-GB"/>
        </w:rPr>
        <w:t>This issue was not considered in the development of the carbon stock account in the SEEA EA since there was never a suggestion that the carbon stock itself represents an ecosystem asset.</w:t>
      </w:r>
    </w:p>
    <w:p w14:paraId="2FD2D210" w14:textId="77777777" w:rsidR="00CD329A" w:rsidRPr="00CD329A" w:rsidRDefault="00C67B11" w:rsidP="00C50259">
      <w:pPr>
        <w:pStyle w:val="Paragraph"/>
        <w:rPr>
          <w:lang w:val="en-GB"/>
        </w:rPr>
      </w:pPr>
      <w:r w:rsidRPr="00F45C78">
        <w:rPr>
          <w:lang w:val="en-GB"/>
        </w:rPr>
        <w:t xml:space="preserve">In </w:t>
      </w:r>
      <w:r w:rsidR="00BB6FE5">
        <w:rPr>
          <w:lang w:val="en-GB"/>
        </w:rPr>
        <w:t>relation to the treatment of the carbon stock</w:t>
      </w:r>
      <w:r w:rsidRPr="00F45C78">
        <w:rPr>
          <w:lang w:val="en-GB"/>
        </w:rPr>
        <w:t xml:space="preserve">, </w:t>
      </w:r>
      <w:r w:rsidR="00C94B5D">
        <w:rPr>
          <w:lang w:val="en-GB"/>
        </w:rPr>
        <w:t>the 2012</w:t>
      </w:r>
      <w:r w:rsidR="0004006A">
        <w:rPr>
          <w:lang w:val="en-GB"/>
        </w:rPr>
        <w:t xml:space="preserve"> </w:t>
      </w:r>
      <w:r w:rsidRPr="00F45C78">
        <w:t xml:space="preserve">SEEA CF paragraphs 2.19 and 2.100 both </w:t>
      </w:r>
      <w:r w:rsidR="005C1180" w:rsidRPr="00F45C78">
        <w:t xml:space="preserve">indicate </w:t>
      </w:r>
      <w:r w:rsidRPr="00F45C78">
        <w:t xml:space="preserve">that carbon itself should not be considered an individual environmental asset. </w:t>
      </w:r>
      <w:r w:rsidR="005C1180" w:rsidRPr="00F45C78">
        <w:t xml:space="preserve">Paragraph 2.19 notes that </w:t>
      </w:r>
      <w:r w:rsidR="005C1180" w:rsidRPr="00C253D0">
        <w:rPr>
          <w:i/>
          <w:iCs/>
        </w:rPr>
        <w:t>“The coverage of individual assets does not extend to the individual elements that are embodied in the various natural and biological resources referred to above.</w:t>
      </w:r>
      <w:r w:rsidR="005C1180" w:rsidRPr="00F45C78">
        <w:t xml:space="preserve">” Paragraph 2.100 notes that </w:t>
      </w:r>
      <w:r w:rsidR="005C1180" w:rsidRPr="00C253D0">
        <w:rPr>
          <w:i/>
          <w:iCs/>
        </w:rPr>
        <w:t>“Individual environmental assets comprise mineral and energy resources, land, soil resources, timber resources, aquatic resources, other biological resources and water resources. These assets are defined by their material content (e.g. the volume of timber or soil resources) without specific reference to their constituent elements (such as the carbon in timber and the nutrients in soil resources)”.</w:t>
      </w:r>
      <w:r w:rsidR="005C1180" w:rsidRPr="00F45C78">
        <w:t xml:space="preserve"> </w:t>
      </w:r>
    </w:p>
    <w:p w14:paraId="52E9901A" w14:textId="433782F2" w:rsidR="0004006A" w:rsidRPr="00562ED5" w:rsidRDefault="00FA557B" w:rsidP="00C50259">
      <w:pPr>
        <w:pStyle w:val="Paragraph"/>
        <w:rPr>
          <w:lang w:val="en-GB"/>
        </w:rPr>
      </w:pPr>
      <w:r>
        <w:t>B</w:t>
      </w:r>
      <w:r w:rsidR="0004006A">
        <w:t>ased on current SEEA CF and SEEA EA</w:t>
      </w:r>
      <w:r w:rsidR="000337BC">
        <w:t>,</w:t>
      </w:r>
      <w:r w:rsidR="0004006A">
        <w:t xml:space="preserve"> one conclusion is that the carbon stock is not an environmental asset. </w:t>
      </w:r>
      <w:r w:rsidR="00270B91">
        <w:t xml:space="preserve">However, </w:t>
      </w:r>
      <w:r w:rsidR="0004006A">
        <w:t>a range of additional points have been made both in favour of</w:t>
      </w:r>
      <w:r w:rsidR="007E3B4F">
        <w:t>,</w:t>
      </w:r>
      <w:r w:rsidR="0004006A">
        <w:t xml:space="preserve"> and against</w:t>
      </w:r>
      <w:r w:rsidR="007E3B4F">
        <w:t>,</w:t>
      </w:r>
      <w:r w:rsidR="0004006A">
        <w:t xml:space="preserve"> the treatment of the carbon stock as an environmental asset. </w:t>
      </w:r>
    </w:p>
    <w:p w14:paraId="62273166" w14:textId="309076C3" w:rsidR="00FA557B" w:rsidRDefault="00B16179" w:rsidP="00C50259">
      <w:pPr>
        <w:pStyle w:val="Paragraph"/>
        <w:rPr>
          <w:lang w:val="en-GB"/>
        </w:rPr>
      </w:pPr>
      <w:r>
        <w:t xml:space="preserve">First, </w:t>
      </w:r>
      <w:r w:rsidR="005710F6">
        <w:t xml:space="preserve">considering the </w:t>
      </w:r>
      <w:r w:rsidR="0068561E">
        <w:t xml:space="preserve">definition of environmental assets, it is relevant to consider </w:t>
      </w:r>
      <w:r w:rsidR="00FB5157">
        <w:t xml:space="preserve">whether </w:t>
      </w:r>
      <w:r w:rsidR="0004006A">
        <w:t>the carbon stock provide</w:t>
      </w:r>
      <w:r w:rsidR="00CC6D2E">
        <w:t>s</w:t>
      </w:r>
      <w:r w:rsidR="0004006A">
        <w:t xml:space="preserve"> benefits to </w:t>
      </w:r>
      <w:r>
        <w:t>humanity, noting that the definition of environmental assets does not require benefits to be provide</w:t>
      </w:r>
      <w:r w:rsidR="00CC6D2E">
        <w:t>d</w:t>
      </w:r>
      <w:r>
        <w:t xml:space="preserve"> only that they “may provide” benefits. </w:t>
      </w:r>
      <w:r>
        <w:rPr>
          <w:lang w:val="en-GB"/>
        </w:rPr>
        <w:t>In the SEEA CF and the SEEA EA there are a range of benefits that are associated with carbon</w:t>
      </w:r>
      <w:r w:rsidR="00CC6D2E">
        <w:rPr>
          <w:lang w:val="en-GB"/>
        </w:rPr>
        <w:t xml:space="preserve"> stocks</w:t>
      </w:r>
      <w:r>
        <w:rPr>
          <w:lang w:val="en-GB"/>
        </w:rPr>
        <w:t>. Specific examples include the benefits from harvesting timber, from extracting oil resources and from global climate regulation services (comprising carbon sequestration and retention by ecosystems</w:t>
      </w:r>
      <w:r w:rsidR="00FA557B">
        <w:rPr>
          <w:lang w:val="en-GB"/>
        </w:rPr>
        <w:t xml:space="preserve"> – i.e. carbon in the biosphere</w:t>
      </w:r>
      <w:r>
        <w:rPr>
          <w:lang w:val="en-GB"/>
        </w:rPr>
        <w:t xml:space="preserve">). </w:t>
      </w:r>
      <w:r w:rsidR="00FA557B">
        <w:rPr>
          <w:lang w:val="en-GB"/>
        </w:rPr>
        <w:t>It is also the case that, more generally, carbon in the atmosphere provides benefits in terms of keeping the earth warm and by facilitating photosynthesis.</w:t>
      </w:r>
    </w:p>
    <w:p w14:paraId="36714097" w14:textId="77777777" w:rsidR="00FA557B" w:rsidRDefault="00B16179" w:rsidP="00C50259">
      <w:pPr>
        <w:pStyle w:val="Paragraph"/>
        <w:rPr>
          <w:lang w:val="en-GB"/>
        </w:rPr>
      </w:pPr>
      <w:r>
        <w:rPr>
          <w:lang w:val="en-GB"/>
        </w:rPr>
        <w:t xml:space="preserve">Thus, there is a case to be made that the carbon stock can provide benefits. It is noted however, that in </w:t>
      </w:r>
      <w:proofErr w:type="gramStart"/>
      <w:r w:rsidR="00FA557B">
        <w:rPr>
          <w:lang w:val="en-GB"/>
        </w:rPr>
        <w:t>a number of</w:t>
      </w:r>
      <w:proofErr w:type="gramEnd"/>
      <w:r w:rsidR="00FA557B">
        <w:rPr>
          <w:lang w:val="en-GB"/>
        </w:rPr>
        <w:t xml:space="preserve"> </w:t>
      </w:r>
      <w:r>
        <w:rPr>
          <w:lang w:val="en-GB"/>
        </w:rPr>
        <w:t xml:space="preserve">cases the benefits </w:t>
      </w:r>
      <w:r w:rsidR="00FA557B">
        <w:rPr>
          <w:lang w:val="en-GB"/>
        </w:rPr>
        <w:t xml:space="preserve">of the carbon </w:t>
      </w:r>
      <w:r>
        <w:rPr>
          <w:lang w:val="en-GB"/>
        </w:rPr>
        <w:t xml:space="preserve">are </w:t>
      </w:r>
      <w:r w:rsidR="00FA557B">
        <w:rPr>
          <w:lang w:val="en-GB"/>
        </w:rPr>
        <w:t xml:space="preserve">currently treated as embodied in </w:t>
      </w:r>
      <w:r>
        <w:rPr>
          <w:lang w:val="en-GB"/>
        </w:rPr>
        <w:t>an environmental asset</w:t>
      </w:r>
      <w:r w:rsidR="007E377F">
        <w:rPr>
          <w:lang w:val="en-GB"/>
        </w:rPr>
        <w:t xml:space="preserve"> (timber resources, energy resources or ecosystem assets).</w:t>
      </w:r>
      <w:r>
        <w:rPr>
          <w:lang w:val="en-GB"/>
        </w:rPr>
        <w:t xml:space="preserve"> </w:t>
      </w:r>
      <w:r w:rsidR="00FA557B">
        <w:rPr>
          <w:lang w:val="en-GB"/>
        </w:rPr>
        <w:t xml:space="preserve">At the same time, there are </w:t>
      </w:r>
      <w:proofErr w:type="gramStart"/>
      <w:r w:rsidR="00FA557B">
        <w:rPr>
          <w:lang w:val="en-GB"/>
        </w:rPr>
        <w:t>a number of</w:t>
      </w:r>
      <w:proofErr w:type="gramEnd"/>
      <w:r w:rsidR="00FA557B">
        <w:rPr>
          <w:lang w:val="en-GB"/>
        </w:rPr>
        <w:t xml:space="preserve"> different benefit streams associated with the carbon </w:t>
      </w:r>
      <w:proofErr w:type="gramStart"/>
      <w:r w:rsidR="00FA557B">
        <w:rPr>
          <w:lang w:val="en-GB"/>
        </w:rPr>
        <w:t>stock</w:t>
      </w:r>
      <w:proofErr w:type="gramEnd"/>
      <w:r w:rsidR="00FA557B">
        <w:rPr>
          <w:lang w:val="en-GB"/>
        </w:rPr>
        <w:t xml:space="preserve"> and it may be relevant to consider in a combined way these different streams of benefits. One example is the benefits from wood provisioning and global climate regulation services provided by forests. In this framing, treating the carbon stock as an environmental asset may be considered to provide a complementary perspective on environmental assets.</w:t>
      </w:r>
    </w:p>
    <w:p w14:paraId="188D27D8" w14:textId="31FA80CF" w:rsidR="00C0305B" w:rsidRDefault="00FA557B" w:rsidP="00A60FE1">
      <w:pPr>
        <w:pStyle w:val="Paragraph"/>
        <w:rPr>
          <w:lang w:val="en-GB"/>
        </w:rPr>
      </w:pPr>
      <w:r w:rsidRPr="00FA557B">
        <w:rPr>
          <w:lang w:val="en-GB"/>
        </w:rPr>
        <w:t xml:space="preserve">From a SEEA CF perspective, an important consideration is the scope of benefits that should be considered. The scope applied in the 2012 SEEA CF was limited to benefits that fall within the SNA production boundary (SNA benefits). </w:t>
      </w:r>
      <w:r w:rsidR="009F5ED6" w:rsidRPr="00FA557B">
        <w:rPr>
          <w:lang w:val="en-GB"/>
        </w:rPr>
        <w:t>W</w:t>
      </w:r>
      <w:r w:rsidR="00882816" w:rsidRPr="00FA557B">
        <w:rPr>
          <w:lang w:val="en-GB"/>
        </w:rPr>
        <w:t xml:space="preserve">hile some </w:t>
      </w:r>
      <w:r>
        <w:rPr>
          <w:lang w:val="en-GB"/>
        </w:rPr>
        <w:t xml:space="preserve">SNA </w:t>
      </w:r>
      <w:r w:rsidR="00882816" w:rsidRPr="00FA557B">
        <w:rPr>
          <w:lang w:val="en-GB"/>
        </w:rPr>
        <w:t xml:space="preserve">benefits can be associated with the </w:t>
      </w:r>
      <w:r w:rsidR="00882816" w:rsidRPr="00FA557B">
        <w:rPr>
          <w:lang w:val="en-GB"/>
        </w:rPr>
        <w:lastRenderedPageBreak/>
        <w:t xml:space="preserve">carbon stock, </w:t>
      </w:r>
      <w:r w:rsidR="00522016" w:rsidRPr="00FA557B">
        <w:rPr>
          <w:lang w:val="en-GB"/>
        </w:rPr>
        <w:t xml:space="preserve">this is likely not the case for </w:t>
      </w:r>
      <w:proofErr w:type="gramStart"/>
      <w:r w:rsidR="00522016" w:rsidRPr="00FA557B">
        <w:rPr>
          <w:lang w:val="en-GB"/>
        </w:rPr>
        <w:t xml:space="preserve">the </w:t>
      </w:r>
      <w:r w:rsidR="00F855FE" w:rsidRPr="00FA557B">
        <w:rPr>
          <w:lang w:val="en-GB"/>
        </w:rPr>
        <w:t>majority</w:t>
      </w:r>
      <w:r w:rsidR="00522016" w:rsidRPr="00FA557B">
        <w:rPr>
          <w:lang w:val="en-GB"/>
        </w:rPr>
        <w:t xml:space="preserve"> of</w:t>
      </w:r>
      <w:proofErr w:type="gramEnd"/>
      <w:r w:rsidR="00522016" w:rsidRPr="00FA557B">
        <w:rPr>
          <w:lang w:val="en-GB"/>
        </w:rPr>
        <w:t xml:space="preserve"> carbon stocks. Put differently, it is only </w:t>
      </w:r>
      <w:r w:rsidR="00882816" w:rsidRPr="00FA557B">
        <w:rPr>
          <w:lang w:val="en-GB"/>
        </w:rPr>
        <w:t xml:space="preserve">in </w:t>
      </w:r>
      <w:r w:rsidR="00522016" w:rsidRPr="00FA557B">
        <w:rPr>
          <w:lang w:val="en-GB"/>
        </w:rPr>
        <w:t>specific</w:t>
      </w:r>
      <w:r w:rsidR="00882816" w:rsidRPr="00FA557B">
        <w:rPr>
          <w:lang w:val="en-GB"/>
        </w:rPr>
        <w:t xml:space="preserve"> contexts that</w:t>
      </w:r>
      <w:r w:rsidR="00522016" w:rsidRPr="00FA557B">
        <w:rPr>
          <w:lang w:val="en-GB"/>
        </w:rPr>
        <w:t xml:space="preserve"> carbon stocks can be considered to provide </w:t>
      </w:r>
      <w:r>
        <w:rPr>
          <w:lang w:val="en-GB"/>
        </w:rPr>
        <w:t xml:space="preserve">SNA </w:t>
      </w:r>
      <w:r w:rsidR="00522016" w:rsidRPr="00FA557B">
        <w:rPr>
          <w:lang w:val="en-GB"/>
        </w:rPr>
        <w:t>benefits</w:t>
      </w:r>
      <w:r w:rsidR="000152D2" w:rsidRPr="00FA557B">
        <w:rPr>
          <w:lang w:val="en-GB"/>
        </w:rPr>
        <w:t xml:space="preserve">. </w:t>
      </w:r>
    </w:p>
    <w:p w14:paraId="2866F56A" w14:textId="3F0A046C" w:rsidR="00FA557B" w:rsidRPr="00FA557B" w:rsidRDefault="00FA557B" w:rsidP="00A60FE1">
      <w:pPr>
        <w:pStyle w:val="Paragraph"/>
        <w:rPr>
          <w:lang w:val="en-GB"/>
        </w:rPr>
      </w:pPr>
      <w:proofErr w:type="gramStart"/>
      <w:r>
        <w:rPr>
          <w:lang w:val="en-GB"/>
        </w:rPr>
        <w:t>In itself, this</w:t>
      </w:r>
      <w:proofErr w:type="gramEnd"/>
      <w:r>
        <w:rPr>
          <w:lang w:val="en-GB"/>
        </w:rPr>
        <w:t xml:space="preserve"> conclusion does not rule out treating the carbon stock as an environmental asset but would suggest that it should not be treated as an individual environmental asset alongside mineral and energy resources, aquatic resources and timber resources. </w:t>
      </w:r>
    </w:p>
    <w:p w14:paraId="55907E73" w14:textId="2525A99E" w:rsidR="00B16179" w:rsidRPr="00562ED5" w:rsidRDefault="00FA557B" w:rsidP="00B16179">
      <w:pPr>
        <w:pStyle w:val="Paragraph"/>
        <w:rPr>
          <w:lang w:val="en-GB"/>
        </w:rPr>
      </w:pPr>
      <w:r>
        <w:rPr>
          <w:lang w:val="en-GB"/>
        </w:rPr>
        <w:t xml:space="preserve">It is also noted that </w:t>
      </w:r>
      <w:r w:rsidR="00522016">
        <w:rPr>
          <w:rFonts w:cstheme="minorHAnsi"/>
          <w:color w:val="000000" w:themeColor="text1"/>
          <w:lang w:val="en-GB"/>
        </w:rPr>
        <w:t xml:space="preserve">while many carbon stocks in the biosphere and geosphere will generally be considered to provide benefits to people and economic units, carbon stored in the atmosphere </w:t>
      </w:r>
      <w:r>
        <w:rPr>
          <w:rFonts w:cstheme="minorHAnsi"/>
          <w:color w:val="000000" w:themeColor="text1"/>
          <w:lang w:val="en-GB"/>
        </w:rPr>
        <w:t>may be</w:t>
      </w:r>
      <w:r w:rsidR="00522016">
        <w:rPr>
          <w:rFonts w:cstheme="minorHAnsi"/>
          <w:color w:val="000000" w:themeColor="text1"/>
          <w:lang w:val="en-GB"/>
        </w:rPr>
        <w:t xml:space="preserve"> considered to provide significant disbenefits. Indeed, this line of thinking leads to a possible framing of some carbon stocks being accounted for as liabilities.</w:t>
      </w:r>
      <w:r w:rsidR="005E250C">
        <w:rPr>
          <w:rFonts w:cstheme="minorHAnsi"/>
          <w:color w:val="000000" w:themeColor="text1"/>
          <w:lang w:val="en-GB"/>
        </w:rPr>
        <w:t xml:space="preserve"> </w:t>
      </w:r>
      <w:r w:rsidR="00AE154D">
        <w:rPr>
          <w:rFonts w:cstheme="minorHAnsi"/>
          <w:color w:val="000000" w:themeColor="text1"/>
          <w:lang w:val="en-GB"/>
        </w:rPr>
        <w:t xml:space="preserve">Thus, </w:t>
      </w:r>
      <w:r>
        <w:rPr>
          <w:rFonts w:cstheme="minorHAnsi"/>
          <w:color w:val="000000" w:themeColor="text1"/>
          <w:lang w:val="en-GB"/>
        </w:rPr>
        <w:t>one consideration</w:t>
      </w:r>
      <w:r w:rsidR="00A32EA6">
        <w:rPr>
          <w:rFonts w:cstheme="minorHAnsi"/>
          <w:color w:val="000000" w:themeColor="text1"/>
          <w:lang w:val="en-GB"/>
        </w:rPr>
        <w:t xml:space="preserve"> in treating carbon stocks as environmental assets is that the </w:t>
      </w:r>
      <w:r w:rsidR="00CF4B5F">
        <w:rPr>
          <w:rFonts w:cstheme="minorHAnsi"/>
          <w:color w:val="000000" w:themeColor="text1"/>
          <w:lang w:val="en-GB"/>
        </w:rPr>
        <w:t xml:space="preserve">appropriate interpretation can vary depending on the location of the carbon stock. </w:t>
      </w:r>
    </w:p>
    <w:p w14:paraId="14BBACA0" w14:textId="6109DC71" w:rsidR="00522016" w:rsidRDefault="00522016" w:rsidP="00B16179">
      <w:pPr>
        <w:pStyle w:val="Paragraph"/>
        <w:rPr>
          <w:lang w:val="en-GB"/>
        </w:rPr>
      </w:pPr>
      <w:r>
        <w:rPr>
          <w:lang w:val="en-GB"/>
        </w:rPr>
        <w:t xml:space="preserve">While this </w:t>
      </w:r>
      <w:r w:rsidR="002239F6">
        <w:rPr>
          <w:lang w:val="en-GB"/>
        </w:rPr>
        <w:t xml:space="preserve">framing for carbon stocks </w:t>
      </w:r>
      <w:r w:rsidR="00C40EDD">
        <w:rPr>
          <w:lang w:val="en-GB"/>
        </w:rPr>
        <w:t xml:space="preserve">might conclude that </w:t>
      </w:r>
      <w:r w:rsidR="00211104">
        <w:rPr>
          <w:lang w:val="en-GB"/>
        </w:rPr>
        <w:t xml:space="preserve">they </w:t>
      </w:r>
      <w:r w:rsidR="002239F6">
        <w:rPr>
          <w:lang w:val="en-GB"/>
        </w:rPr>
        <w:t xml:space="preserve">should </w:t>
      </w:r>
      <w:r w:rsidR="00211104">
        <w:rPr>
          <w:lang w:val="en-GB"/>
        </w:rPr>
        <w:t xml:space="preserve">not </w:t>
      </w:r>
      <w:r w:rsidR="002239F6">
        <w:rPr>
          <w:lang w:val="en-GB"/>
        </w:rPr>
        <w:t xml:space="preserve">be treated as environmental assets, the same </w:t>
      </w:r>
      <w:r w:rsidR="00211104">
        <w:rPr>
          <w:lang w:val="en-GB"/>
        </w:rPr>
        <w:t>framing</w:t>
      </w:r>
      <w:r w:rsidR="002239F6">
        <w:rPr>
          <w:lang w:val="en-GB"/>
        </w:rPr>
        <w:t xml:space="preserve"> might also be applied for water. That is, there is implicit recognition that not all water is to be included in the scope of measuring water resources</w:t>
      </w:r>
      <w:r w:rsidR="00E057C5">
        <w:rPr>
          <w:lang w:val="en-GB"/>
        </w:rPr>
        <w:t xml:space="preserve"> in physical terms</w:t>
      </w:r>
      <w:r w:rsidR="002239F6">
        <w:rPr>
          <w:lang w:val="en-GB"/>
        </w:rPr>
        <w:t xml:space="preserve"> – for example water embodied in biota, or soil water beyond agricultural areas</w:t>
      </w:r>
      <w:r w:rsidR="005B79CA">
        <w:rPr>
          <w:lang w:val="en-GB"/>
        </w:rPr>
        <w:t xml:space="preserve"> – and also recognition that not all water resources in scope of measurement in physical terms will have a monetary value. </w:t>
      </w:r>
      <w:r w:rsidR="002239F6">
        <w:rPr>
          <w:lang w:val="en-GB"/>
        </w:rPr>
        <w:t>It might also be considered that in some circumstances water can be a liability (e.g. in relation to flood</w:t>
      </w:r>
      <w:r w:rsidR="00F4636E">
        <w:rPr>
          <w:lang w:val="en-GB"/>
        </w:rPr>
        <w:t xml:space="preserve"> damage</w:t>
      </w:r>
      <w:r w:rsidR="002239F6">
        <w:rPr>
          <w:lang w:val="en-GB"/>
        </w:rPr>
        <w:t xml:space="preserve">). </w:t>
      </w:r>
      <w:r w:rsidR="00F4636E">
        <w:rPr>
          <w:lang w:val="en-GB"/>
        </w:rPr>
        <w:t xml:space="preserve">Thus, </w:t>
      </w:r>
      <w:r w:rsidR="00A75916">
        <w:rPr>
          <w:lang w:val="en-GB"/>
        </w:rPr>
        <w:t xml:space="preserve">a range of conventions have become established concerning the treatment of water resources as environmental assets </w:t>
      </w:r>
      <w:r w:rsidR="00700336">
        <w:rPr>
          <w:lang w:val="en-GB"/>
        </w:rPr>
        <w:t>that could potentially be extended to accounting for the carbon stock.</w:t>
      </w:r>
    </w:p>
    <w:p w14:paraId="4E11C818" w14:textId="5800AF00" w:rsidR="0004006A" w:rsidRDefault="00B16179" w:rsidP="00C50259">
      <w:pPr>
        <w:pStyle w:val="Paragraph"/>
        <w:rPr>
          <w:lang w:val="en-GB"/>
        </w:rPr>
      </w:pPr>
      <w:r>
        <w:t>Second, the inclusion of</w:t>
      </w:r>
      <w:r w:rsidR="0004006A">
        <w:t xml:space="preserve"> </w:t>
      </w:r>
      <w:r>
        <w:t xml:space="preserve">carbon stock as an environmental asset </w:t>
      </w:r>
      <w:r w:rsidR="00522016">
        <w:t>c</w:t>
      </w:r>
      <w:r>
        <w:t xml:space="preserve">ould imply a double counting in an aggregate </w:t>
      </w:r>
      <w:r w:rsidR="00522016">
        <w:t xml:space="preserve">scope </w:t>
      </w:r>
      <w:r>
        <w:t xml:space="preserve">of either individual environmental assets or ecosystem assets. At present in the SEEA CF and SEEA EA, </w:t>
      </w:r>
      <w:r>
        <w:rPr>
          <w:lang w:val="en-GB"/>
        </w:rPr>
        <w:t xml:space="preserve">the physical stock and </w:t>
      </w:r>
      <w:r w:rsidR="007E312B">
        <w:rPr>
          <w:lang w:val="en-GB"/>
        </w:rPr>
        <w:t xml:space="preserve">any </w:t>
      </w:r>
      <w:r>
        <w:rPr>
          <w:lang w:val="en-GB"/>
        </w:rPr>
        <w:t xml:space="preserve">associated benefits of the carbon stock are not separately accounted for </w:t>
      </w:r>
      <w:r w:rsidR="00353AAA">
        <w:rPr>
          <w:lang w:val="en-GB"/>
        </w:rPr>
        <w:t>as a distinct asset class.</w:t>
      </w:r>
      <w:r>
        <w:rPr>
          <w:lang w:val="en-GB"/>
        </w:rPr>
        <w:t xml:space="preserve"> </w:t>
      </w:r>
      <w:r w:rsidR="00353AAA">
        <w:rPr>
          <w:lang w:val="en-GB"/>
        </w:rPr>
        <w:t>I</w:t>
      </w:r>
      <w:r>
        <w:rPr>
          <w:lang w:val="en-GB"/>
        </w:rPr>
        <w:t>n a</w:t>
      </w:r>
      <w:r w:rsidR="00353AAA">
        <w:rPr>
          <w:lang w:val="en-GB"/>
        </w:rPr>
        <w:t xml:space="preserve"> total </w:t>
      </w:r>
      <w:r>
        <w:rPr>
          <w:lang w:val="en-GB"/>
        </w:rPr>
        <w:t>balance sheet</w:t>
      </w:r>
      <w:r w:rsidR="00353AAA">
        <w:rPr>
          <w:lang w:val="en-GB"/>
        </w:rPr>
        <w:t>/net worth</w:t>
      </w:r>
      <w:r>
        <w:rPr>
          <w:lang w:val="en-GB"/>
        </w:rPr>
        <w:t xml:space="preserve"> context this appears appropriate, i.e. double counting would be implied if the benefits of the carbon stock were separately calculated and added to the benefits of </w:t>
      </w:r>
      <w:r w:rsidR="001269AF">
        <w:rPr>
          <w:lang w:val="en-GB"/>
        </w:rPr>
        <w:t xml:space="preserve">the current </w:t>
      </w:r>
      <w:r w:rsidR="00FA557B">
        <w:rPr>
          <w:lang w:val="en-GB"/>
        </w:rPr>
        <w:t>types</w:t>
      </w:r>
      <w:r w:rsidR="001269AF">
        <w:rPr>
          <w:lang w:val="en-GB"/>
        </w:rPr>
        <w:t xml:space="preserve"> of </w:t>
      </w:r>
      <w:r>
        <w:rPr>
          <w:lang w:val="en-GB"/>
        </w:rPr>
        <w:t>environmental assets</w:t>
      </w:r>
      <w:r w:rsidR="001269AF">
        <w:rPr>
          <w:lang w:val="en-GB"/>
        </w:rPr>
        <w:t xml:space="preserve"> (e.g. </w:t>
      </w:r>
      <w:r w:rsidR="00FA557B">
        <w:rPr>
          <w:lang w:val="en-GB"/>
        </w:rPr>
        <w:t xml:space="preserve">forest ecosystems or </w:t>
      </w:r>
      <w:r w:rsidR="001269AF">
        <w:rPr>
          <w:lang w:val="en-GB"/>
        </w:rPr>
        <w:t>timber resources)</w:t>
      </w:r>
      <w:r>
        <w:rPr>
          <w:lang w:val="en-GB"/>
        </w:rPr>
        <w:t>.</w:t>
      </w:r>
      <w:r w:rsidR="00FA557B">
        <w:rPr>
          <w:lang w:val="en-GB"/>
        </w:rPr>
        <w:t xml:space="preserve"> Put differently, if the carbon stock were valued directly in relation to </w:t>
      </w:r>
      <w:proofErr w:type="gramStart"/>
      <w:r w:rsidR="00FA557B">
        <w:rPr>
          <w:lang w:val="en-GB"/>
        </w:rPr>
        <w:t>all of</w:t>
      </w:r>
      <w:proofErr w:type="gramEnd"/>
      <w:r w:rsidR="00FA557B">
        <w:rPr>
          <w:lang w:val="en-GB"/>
        </w:rPr>
        <w:t xml:space="preserve"> its benefit streams (both SNA and non-SNA), the resulting value would likely overlap with the values of environmental assets already recorded in the SEEA.</w:t>
      </w:r>
    </w:p>
    <w:p w14:paraId="2A7B1256" w14:textId="1AB23714" w:rsidR="007B2A4F" w:rsidRDefault="00B16179" w:rsidP="00562ED5">
      <w:pPr>
        <w:pStyle w:val="Paragraph"/>
        <w:rPr>
          <w:lang w:val="en-GB"/>
        </w:rPr>
      </w:pPr>
      <w:r>
        <w:rPr>
          <w:lang w:val="en-GB"/>
        </w:rPr>
        <w:t xml:space="preserve">However, it is </w:t>
      </w:r>
      <w:r w:rsidR="00FA557B">
        <w:rPr>
          <w:lang w:val="en-GB"/>
        </w:rPr>
        <w:t>already</w:t>
      </w:r>
      <w:r>
        <w:rPr>
          <w:lang w:val="en-GB"/>
        </w:rPr>
        <w:t xml:space="preserve"> the case that there is a</w:t>
      </w:r>
      <w:r w:rsidR="00693742">
        <w:rPr>
          <w:lang w:val="en-GB"/>
        </w:rPr>
        <w:t xml:space="preserve"> recognised </w:t>
      </w:r>
      <w:r>
        <w:rPr>
          <w:lang w:val="en-GB"/>
        </w:rPr>
        <w:t xml:space="preserve">overlap between individual environmental assets and ecosystem assets – for example </w:t>
      </w:r>
      <w:r w:rsidR="00522016">
        <w:rPr>
          <w:lang w:val="en-GB"/>
        </w:rPr>
        <w:t xml:space="preserve">between </w:t>
      </w:r>
      <w:r w:rsidR="00693742">
        <w:rPr>
          <w:lang w:val="en-GB"/>
        </w:rPr>
        <w:t xml:space="preserve">the value of </w:t>
      </w:r>
      <w:r>
        <w:rPr>
          <w:lang w:val="en-GB"/>
        </w:rPr>
        <w:t xml:space="preserve">timber resources and </w:t>
      </w:r>
      <w:r w:rsidR="00693742">
        <w:rPr>
          <w:lang w:val="en-GB"/>
        </w:rPr>
        <w:t xml:space="preserve">the value of </w:t>
      </w:r>
      <w:r>
        <w:rPr>
          <w:lang w:val="en-GB"/>
        </w:rPr>
        <w:t xml:space="preserve">forest ecosystems. </w:t>
      </w:r>
      <w:r w:rsidR="00693742">
        <w:rPr>
          <w:lang w:val="en-GB"/>
        </w:rPr>
        <w:t xml:space="preserve">This overlap is </w:t>
      </w:r>
      <w:r w:rsidR="00B7066B">
        <w:rPr>
          <w:lang w:val="en-GB"/>
        </w:rPr>
        <w:t>dealt with by ensuring that individual environmental assets and ecosystem assets are not both included</w:t>
      </w:r>
      <w:r w:rsidR="002D5C04">
        <w:rPr>
          <w:lang w:val="en-GB"/>
        </w:rPr>
        <w:t xml:space="preserve"> on a single balance sheet (unless appropriate adjustments are made – see SEEA EA </w:t>
      </w:r>
      <w:r w:rsidR="007B2A4F">
        <w:rPr>
          <w:lang w:val="en-GB"/>
        </w:rPr>
        <w:t xml:space="preserve">Section 11.3.3). </w:t>
      </w:r>
    </w:p>
    <w:p w14:paraId="732B0DB7" w14:textId="07B61EB4" w:rsidR="0058598C" w:rsidRDefault="007B2A4F" w:rsidP="00562ED5">
      <w:pPr>
        <w:pStyle w:val="Paragraph"/>
        <w:rPr>
          <w:lang w:val="en-GB"/>
        </w:rPr>
      </w:pPr>
      <w:r>
        <w:rPr>
          <w:lang w:val="en-GB"/>
        </w:rPr>
        <w:t>Thus, an option t</w:t>
      </w:r>
      <w:r w:rsidR="00B16179">
        <w:rPr>
          <w:lang w:val="en-GB"/>
        </w:rPr>
        <w:t>o accommodate carbon stock as an environmental asset would be to create a third category of environmental assets</w:t>
      </w:r>
      <w:r w:rsidR="00311B5A">
        <w:rPr>
          <w:lang w:val="en-GB"/>
        </w:rPr>
        <w:t xml:space="preserve"> (alongside individual environmental assets and ecosystem assets)</w:t>
      </w:r>
      <w:r w:rsidR="00B16179">
        <w:rPr>
          <w:lang w:val="en-GB"/>
        </w:rPr>
        <w:t xml:space="preserve"> comprising individual elements. A separate</w:t>
      </w:r>
      <w:r w:rsidR="0081511B">
        <w:rPr>
          <w:lang w:val="en-GB"/>
        </w:rPr>
        <w:t xml:space="preserve"> </w:t>
      </w:r>
      <w:r w:rsidR="005925B7">
        <w:rPr>
          <w:lang w:val="en-GB"/>
        </w:rPr>
        <w:t xml:space="preserve">set of asset accounts </w:t>
      </w:r>
      <w:r w:rsidR="0081511B">
        <w:rPr>
          <w:lang w:val="en-GB"/>
        </w:rPr>
        <w:t>c</w:t>
      </w:r>
      <w:r w:rsidR="00B16179">
        <w:rPr>
          <w:lang w:val="en-GB"/>
        </w:rPr>
        <w:t xml:space="preserve">ould be </w:t>
      </w:r>
      <w:r w:rsidR="0081511B">
        <w:rPr>
          <w:lang w:val="en-GB"/>
        </w:rPr>
        <w:t xml:space="preserve">presented </w:t>
      </w:r>
      <w:r w:rsidR="00FA557B">
        <w:rPr>
          <w:lang w:val="en-GB"/>
        </w:rPr>
        <w:t xml:space="preserve">encompassing </w:t>
      </w:r>
      <w:proofErr w:type="gramStart"/>
      <w:r w:rsidR="00FA557B">
        <w:rPr>
          <w:lang w:val="en-GB"/>
        </w:rPr>
        <w:t>all of</w:t>
      </w:r>
      <w:proofErr w:type="gramEnd"/>
      <w:r w:rsidR="00FA557B">
        <w:rPr>
          <w:lang w:val="en-GB"/>
        </w:rPr>
        <w:t xml:space="preserve"> the benefits provided by the carbon stock </w:t>
      </w:r>
      <w:r w:rsidR="003B7CE6">
        <w:rPr>
          <w:lang w:val="en-GB"/>
        </w:rPr>
        <w:t xml:space="preserve">while ensuring that </w:t>
      </w:r>
      <w:r w:rsidR="00522016">
        <w:rPr>
          <w:lang w:val="en-GB"/>
        </w:rPr>
        <w:t xml:space="preserve">any monetary values were </w:t>
      </w:r>
      <w:r w:rsidR="00FA557B">
        <w:rPr>
          <w:lang w:val="en-GB"/>
        </w:rPr>
        <w:t xml:space="preserve">not combined with asset values for the </w:t>
      </w:r>
      <w:r w:rsidR="00522016">
        <w:rPr>
          <w:lang w:val="en-GB"/>
        </w:rPr>
        <w:t>other two categories</w:t>
      </w:r>
      <w:r w:rsidR="00FA557B">
        <w:rPr>
          <w:lang w:val="en-GB"/>
        </w:rPr>
        <w:t xml:space="preserve"> of environmental assets</w:t>
      </w:r>
      <w:r w:rsidR="00522016">
        <w:rPr>
          <w:lang w:val="en-GB"/>
        </w:rPr>
        <w:t>.</w:t>
      </w:r>
      <w:r w:rsidR="00FA557B">
        <w:rPr>
          <w:lang w:val="en-GB"/>
        </w:rPr>
        <w:t xml:space="preserve"> Consistent with the discussion above, in the context of the SEEA CF, the </w:t>
      </w:r>
      <w:r w:rsidR="00FA557B">
        <w:rPr>
          <w:lang w:val="en-GB"/>
        </w:rPr>
        <w:lastRenderedPageBreak/>
        <w:t xml:space="preserve">resulting values would be limited to SNA-benefits which would be expected to be already included in the accounts for individual environmental assets – primarily mineral and energy resources and timber resources. </w:t>
      </w:r>
    </w:p>
    <w:p w14:paraId="6F102448" w14:textId="4E97A14E" w:rsidR="00E925C7" w:rsidRPr="00FA557B" w:rsidRDefault="00B16179" w:rsidP="00C50259">
      <w:pPr>
        <w:pStyle w:val="Paragraph"/>
        <w:rPr>
          <w:rFonts w:cstheme="minorHAnsi"/>
          <w:color w:val="000000" w:themeColor="text1"/>
          <w:lang w:val="en-GB"/>
        </w:rPr>
      </w:pPr>
      <w:r>
        <w:rPr>
          <w:rFonts w:cstheme="minorHAnsi"/>
          <w:color w:val="000000" w:themeColor="text1"/>
        </w:rPr>
        <w:t xml:space="preserve">Third, </w:t>
      </w:r>
      <w:r w:rsidR="00AA661C" w:rsidRPr="00B2412E">
        <w:rPr>
          <w:rFonts w:cstheme="minorHAnsi"/>
          <w:color w:val="000000" w:themeColor="text1"/>
        </w:rPr>
        <w:t>there are currently some element</w:t>
      </w:r>
      <w:r w:rsidR="003C5C5B">
        <w:rPr>
          <w:rFonts w:cstheme="minorHAnsi"/>
          <w:color w:val="000000" w:themeColor="text1"/>
        </w:rPr>
        <w:t xml:space="preserve">s and substances </w:t>
      </w:r>
      <w:r w:rsidR="00AA661C" w:rsidRPr="00B2412E">
        <w:rPr>
          <w:rFonts w:cstheme="minorHAnsi"/>
          <w:color w:val="000000" w:themeColor="text1"/>
        </w:rPr>
        <w:t xml:space="preserve">which are treated as environmental assets in the </w:t>
      </w:r>
      <w:r w:rsidR="009B498A" w:rsidRPr="00B2412E">
        <w:rPr>
          <w:rFonts w:cstheme="minorHAnsi"/>
          <w:color w:val="000000" w:themeColor="text1"/>
        </w:rPr>
        <w:t xml:space="preserve">SEEA CF. Examples include </w:t>
      </w:r>
      <w:r w:rsidR="003F6056">
        <w:rPr>
          <w:rFonts w:cstheme="minorHAnsi"/>
          <w:color w:val="000000" w:themeColor="text1"/>
        </w:rPr>
        <w:t xml:space="preserve">water </w:t>
      </w:r>
      <w:r w:rsidR="00030A5D">
        <w:rPr>
          <w:rFonts w:cstheme="minorHAnsi"/>
          <w:color w:val="000000" w:themeColor="text1"/>
        </w:rPr>
        <w:t xml:space="preserve">which is treated as water resources </w:t>
      </w:r>
      <w:r w:rsidR="003F6056">
        <w:rPr>
          <w:rFonts w:cstheme="minorHAnsi"/>
          <w:color w:val="000000" w:themeColor="text1"/>
        </w:rPr>
        <w:t xml:space="preserve">and </w:t>
      </w:r>
      <w:r w:rsidR="00B50C77" w:rsidRPr="00B2412E">
        <w:rPr>
          <w:rFonts w:cstheme="minorHAnsi"/>
          <w:color w:val="000000" w:themeColor="text1"/>
        </w:rPr>
        <w:t>individual minerals</w:t>
      </w:r>
      <w:r w:rsidR="00873CCE" w:rsidRPr="00B2412E">
        <w:rPr>
          <w:rFonts w:cstheme="minorHAnsi"/>
          <w:color w:val="000000" w:themeColor="text1"/>
        </w:rPr>
        <w:t xml:space="preserve"> (e.g. copper)</w:t>
      </w:r>
      <w:r w:rsidR="00B50C77" w:rsidRPr="00B2412E">
        <w:rPr>
          <w:rFonts w:cstheme="minorHAnsi"/>
          <w:color w:val="000000" w:themeColor="text1"/>
        </w:rPr>
        <w:t xml:space="preserve"> </w:t>
      </w:r>
      <w:r w:rsidR="00873CCE" w:rsidRPr="00B2412E">
        <w:rPr>
          <w:rFonts w:cstheme="minorHAnsi"/>
          <w:color w:val="000000" w:themeColor="text1"/>
        </w:rPr>
        <w:t>which are treated as types of mineral and energy resources</w:t>
      </w:r>
      <w:r w:rsidR="00AB1F42" w:rsidRPr="00B2412E">
        <w:rPr>
          <w:rFonts w:cstheme="minorHAnsi"/>
          <w:color w:val="000000" w:themeColor="text1"/>
        </w:rPr>
        <w:t xml:space="preserve">. </w:t>
      </w:r>
      <w:r w:rsidR="00AD5C15" w:rsidRPr="00B2412E">
        <w:rPr>
          <w:rFonts w:cstheme="minorHAnsi"/>
          <w:color w:val="000000" w:themeColor="text1"/>
        </w:rPr>
        <w:t xml:space="preserve">In these cases, the interpretation of the SEEA CF at present appears to be that </w:t>
      </w:r>
      <w:r w:rsidR="003A7414" w:rsidRPr="00B2412E">
        <w:rPr>
          <w:rFonts w:cstheme="minorHAnsi"/>
          <w:color w:val="000000" w:themeColor="text1"/>
        </w:rPr>
        <w:t xml:space="preserve">individual elements and substances can be treated as environmental assets </w:t>
      </w:r>
      <w:proofErr w:type="gramStart"/>
      <w:r w:rsidR="003A7414" w:rsidRPr="00B2412E">
        <w:rPr>
          <w:rFonts w:cstheme="minorHAnsi"/>
          <w:color w:val="000000" w:themeColor="text1"/>
        </w:rPr>
        <w:t>provided that</w:t>
      </w:r>
      <w:proofErr w:type="gramEnd"/>
      <w:r w:rsidR="003A7414" w:rsidRPr="00B2412E">
        <w:rPr>
          <w:rFonts w:cstheme="minorHAnsi"/>
          <w:color w:val="000000" w:themeColor="text1"/>
        </w:rPr>
        <w:t xml:space="preserve"> they are not, at the same time, also </w:t>
      </w:r>
      <w:r w:rsidR="00BE4ED5" w:rsidRPr="00B2412E">
        <w:rPr>
          <w:rFonts w:cstheme="minorHAnsi"/>
          <w:color w:val="000000" w:themeColor="text1"/>
        </w:rPr>
        <w:t>included in the measurement of another environmental asset</w:t>
      </w:r>
      <w:r w:rsidR="002239F6">
        <w:rPr>
          <w:rFonts w:cstheme="minorHAnsi"/>
          <w:color w:val="000000" w:themeColor="text1"/>
        </w:rPr>
        <w:t>.</w:t>
      </w:r>
      <w:r w:rsidR="00073B12">
        <w:rPr>
          <w:rFonts w:cstheme="minorHAnsi"/>
          <w:color w:val="000000" w:themeColor="text1"/>
        </w:rPr>
        <w:t xml:space="preserve"> </w:t>
      </w:r>
    </w:p>
    <w:p w14:paraId="690E07D6" w14:textId="7B55D2EF" w:rsidR="00FA557B" w:rsidRPr="00562ED5" w:rsidRDefault="00FA557B" w:rsidP="00C50259">
      <w:pPr>
        <w:pStyle w:val="Paragraph"/>
        <w:rPr>
          <w:rFonts w:cstheme="minorHAnsi"/>
          <w:color w:val="000000" w:themeColor="text1"/>
          <w:lang w:val="en-GB"/>
        </w:rPr>
      </w:pPr>
      <w:r>
        <w:rPr>
          <w:rFonts w:cstheme="minorHAnsi"/>
          <w:color w:val="000000" w:themeColor="text1"/>
        </w:rPr>
        <w:t>Nonetheless, in addition to carbon, it may be relevant to describe in the updated SEEA CF the appropriate treatment of other elements, such as nitrogen, whose stocks (in certain forms) may underpin the provision of a range of benefits and be in specific policy interest. The challenge in this sense is not whether the relevant data can be organized but rather how any measurement of specific elements should be considered within the SEEA CF and the wider SEEA system of accounts.</w:t>
      </w:r>
    </w:p>
    <w:p w14:paraId="66CA1205" w14:textId="7D4C71DD" w:rsidR="0051150A" w:rsidRDefault="0051150A" w:rsidP="00C50259">
      <w:pPr>
        <w:pStyle w:val="Paragraph"/>
        <w:rPr>
          <w:rFonts w:cstheme="minorHAnsi"/>
          <w:color w:val="000000" w:themeColor="text1"/>
          <w:lang w:val="en-GB"/>
        </w:rPr>
      </w:pPr>
      <w:r>
        <w:rPr>
          <w:rFonts w:cstheme="minorHAnsi"/>
          <w:color w:val="000000" w:themeColor="text1"/>
          <w:lang w:val="en-GB"/>
        </w:rPr>
        <w:t xml:space="preserve">Overall, </w:t>
      </w:r>
      <w:r w:rsidR="0002577C">
        <w:rPr>
          <w:rFonts w:cstheme="minorHAnsi"/>
          <w:color w:val="000000" w:themeColor="text1"/>
          <w:lang w:val="en-GB"/>
        </w:rPr>
        <w:t xml:space="preserve">although the </w:t>
      </w:r>
      <w:r w:rsidR="00FA557B">
        <w:rPr>
          <w:rFonts w:cstheme="minorHAnsi"/>
          <w:color w:val="000000" w:themeColor="text1"/>
          <w:lang w:val="en-GB"/>
        </w:rPr>
        <w:t xml:space="preserve">2012 </w:t>
      </w:r>
      <w:r w:rsidR="0002577C">
        <w:rPr>
          <w:rFonts w:cstheme="minorHAnsi"/>
          <w:color w:val="000000" w:themeColor="text1"/>
          <w:lang w:val="en-GB"/>
        </w:rPr>
        <w:t xml:space="preserve">SEEA CF has the position that the carbon stock is not an environmental asset, </w:t>
      </w:r>
      <w:r w:rsidR="00AA598A">
        <w:rPr>
          <w:rFonts w:cstheme="minorHAnsi"/>
          <w:color w:val="000000" w:themeColor="text1"/>
          <w:lang w:val="en-GB"/>
        </w:rPr>
        <w:t xml:space="preserve">the discussion here suggests that it would be possible to change this treatment with </w:t>
      </w:r>
      <w:r w:rsidR="001415F9">
        <w:rPr>
          <w:rFonts w:cstheme="minorHAnsi"/>
          <w:color w:val="000000" w:themeColor="text1"/>
          <w:lang w:val="en-GB"/>
        </w:rPr>
        <w:t xml:space="preserve">some adaptation of the current interpretation of environmental assets with respect to carbon and </w:t>
      </w:r>
      <w:r w:rsidR="00AA598A">
        <w:rPr>
          <w:rFonts w:cstheme="minorHAnsi"/>
          <w:color w:val="000000" w:themeColor="text1"/>
          <w:lang w:val="en-GB"/>
        </w:rPr>
        <w:t xml:space="preserve">with </w:t>
      </w:r>
      <w:r w:rsidR="001415F9">
        <w:rPr>
          <w:rFonts w:cstheme="minorHAnsi"/>
          <w:color w:val="000000" w:themeColor="text1"/>
          <w:lang w:val="en-GB"/>
        </w:rPr>
        <w:t xml:space="preserve">some extension to the </w:t>
      </w:r>
      <w:r w:rsidR="00AA598A">
        <w:rPr>
          <w:rFonts w:cstheme="minorHAnsi"/>
          <w:color w:val="000000" w:themeColor="text1"/>
          <w:lang w:val="en-GB"/>
        </w:rPr>
        <w:t>approach to accounting for different types of assets</w:t>
      </w:r>
      <w:r w:rsidR="00827884">
        <w:rPr>
          <w:rFonts w:cstheme="minorHAnsi"/>
          <w:color w:val="000000" w:themeColor="text1"/>
          <w:lang w:val="en-GB"/>
        </w:rPr>
        <w:t>.</w:t>
      </w:r>
      <w:r w:rsidR="00BC5069">
        <w:rPr>
          <w:rFonts w:cstheme="minorHAnsi"/>
          <w:color w:val="000000" w:themeColor="text1"/>
          <w:lang w:val="en-GB"/>
        </w:rPr>
        <w:t xml:space="preserve"> </w:t>
      </w:r>
    </w:p>
    <w:p w14:paraId="1074E8BC" w14:textId="77777777" w:rsidR="002239F6" w:rsidRDefault="002239F6" w:rsidP="002239F6">
      <w:pPr>
        <w:pStyle w:val="Paragraph"/>
        <w:numPr>
          <w:ilvl w:val="0"/>
          <w:numId w:val="0"/>
        </w:numPr>
        <w:ind w:left="720" w:hanging="360"/>
        <w:rPr>
          <w:rFonts w:ascii="Times New Roman" w:hAnsi="Times New Roman"/>
          <w:lang w:val="en-GB" w:eastAsia="en-GB"/>
        </w:rPr>
      </w:pPr>
    </w:p>
    <w:p w14:paraId="392703C1" w14:textId="589076A0" w:rsidR="002239F6" w:rsidRDefault="002239F6" w:rsidP="002239F6">
      <w:pPr>
        <w:pStyle w:val="Heading2"/>
        <w:rPr>
          <w:lang w:val="en-GB"/>
        </w:rPr>
      </w:pPr>
      <w:bookmarkStart w:id="15" w:name="_Toc239173045"/>
      <w:r>
        <w:rPr>
          <w:lang w:val="en-GB"/>
        </w:rPr>
        <w:t>The monetary value of carbon stocks</w:t>
      </w:r>
      <w:bookmarkEnd w:id="15"/>
      <w:r>
        <w:rPr>
          <w:lang w:val="en-GB"/>
        </w:rPr>
        <w:t xml:space="preserve"> </w:t>
      </w:r>
    </w:p>
    <w:p w14:paraId="6E194E06" w14:textId="7A5937BE" w:rsidR="0069777A" w:rsidRDefault="002239F6" w:rsidP="002239F6">
      <w:pPr>
        <w:pStyle w:val="Paragraph"/>
        <w:rPr>
          <w:lang w:val="en-GB"/>
        </w:rPr>
      </w:pPr>
      <w:r>
        <w:rPr>
          <w:lang w:val="en-GB"/>
        </w:rPr>
        <w:t xml:space="preserve">Beyond the question of whether carbon stocks can be considered an environmental asset in physical terms, the related question is whether the </w:t>
      </w:r>
      <w:proofErr w:type="spellStart"/>
      <w:r>
        <w:rPr>
          <w:lang w:val="en-GB"/>
        </w:rPr>
        <w:t>cabon</w:t>
      </w:r>
      <w:proofErr w:type="spellEnd"/>
      <w:r>
        <w:rPr>
          <w:lang w:val="en-GB"/>
        </w:rPr>
        <w:t xml:space="preserve"> stock can be considered to have </w:t>
      </w:r>
      <w:r w:rsidR="00324CE6">
        <w:rPr>
          <w:lang w:val="en-GB"/>
        </w:rPr>
        <w:t xml:space="preserve">a </w:t>
      </w:r>
      <w:r>
        <w:rPr>
          <w:lang w:val="en-GB"/>
        </w:rPr>
        <w:t xml:space="preserve">value in monetary terms. </w:t>
      </w:r>
      <w:r w:rsidR="0069777A">
        <w:rPr>
          <w:lang w:val="en-GB"/>
        </w:rPr>
        <w:t>In the discussion above, the</w:t>
      </w:r>
      <w:r w:rsidR="002F6115">
        <w:rPr>
          <w:lang w:val="en-GB"/>
        </w:rPr>
        <w:t xml:space="preserve"> main</w:t>
      </w:r>
      <w:r w:rsidR="0069777A">
        <w:rPr>
          <w:lang w:val="en-GB"/>
        </w:rPr>
        <w:t xml:space="preserve"> link to </w:t>
      </w:r>
      <w:r w:rsidR="002F6115">
        <w:rPr>
          <w:lang w:val="en-GB"/>
        </w:rPr>
        <w:t xml:space="preserve">monetary </w:t>
      </w:r>
      <w:r w:rsidR="0069777A">
        <w:rPr>
          <w:lang w:val="en-GB"/>
        </w:rPr>
        <w:t>value concerned whether there was a benefit flow that might be associated with the carbon stock that would provide a rationale for satisfying the definition of an environmental asset in physical terms. Here, the focus is on whether there is a case for compiling carbon stock accounts in monetary terms</w:t>
      </w:r>
      <w:r w:rsidR="003213E4">
        <w:rPr>
          <w:lang w:val="en-GB"/>
        </w:rPr>
        <w:t xml:space="preserve"> in the SEEA CF and, in effect, </w:t>
      </w:r>
      <w:r w:rsidR="002777CD">
        <w:rPr>
          <w:lang w:val="en-GB"/>
        </w:rPr>
        <w:t>considering that carbon stocks may be economic assets following the SNA.</w:t>
      </w:r>
      <w:r w:rsidR="0069777A">
        <w:rPr>
          <w:lang w:val="en-GB"/>
        </w:rPr>
        <w:t xml:space="preserve"> </w:t>
      </w:r>
      <w:proofErr w:type="gramStart"/>
      <w:r w:rsidR="0069777A">
        <w:rPr>
          <w:lang w:val="en-GB"/>
        </w:rPr>
        <w:t>Again</w:t>
      </w:r>
      <w:proofErr w:type="gramEnd"/>
      <w:r w:rsidR="0069777A">
        <w:rPr>
          <w:lang w:val="en-GB"/>
        </w:rPr>
        <w:t xml:space="preserve"> a range of views have been expressed.</w:t>
      </w:r>
    </w:p>
    <w:p w14:paraId="410C3C96" w14:textId="5041FADA" w:rsidR="0069777A" w:rsidRPr="00562ED5" w:rsidRDefault="0069777A" w:rsidP="0069777A">
      <w:pPr>
        <w:pStyle w:val="Paragraph"/>
        <w:rPr>
          <w:rFonts w:cstheme="minorHAnsi"/>
          <w:color w:val="000000" w:themeColor="text1"/>
          <w:lang w:val="en-GB"/>
        </w:rPr>
      </w:pPr>
      <w:r>
        <w:rPr>
          <w:lang w:val="en-GB"/>
        </w:rPr>
        <w:t xml:space="preserve">First, </w:t>
      </w:r>
      <w:r w:rsidRPr="00B2412E">
        <w:rPr>
          <w:rFonts w:cstheme="minorHAnsi"/>
          <w:color w:val="000000" w:themeColor="text1"/>
        </w:rPr>
        <w:t xml:space="preserve">some carbon stocks </w:t>
      </w:r>
      <w:r w:rsidR="008E26E8">
        <w:rPr>
          <w:rFonts w:cstheme="minorHAnsi"/>
          <w:color w:val="000000" w:themeColor="text1"/>
        </w:rPr>
        <w:t xml:space="preserve">may be considered to </w:t>
      </w:r>
      <w:r w:rsidRPr="00B2412E">
        <w:rPr>
          <w:rFonts w:cstheme="minorHAnsi"/>
          <w:color w:val="000000" w:themeColor="text1"/>
        </w:rPr>
        <w:t>have value in and of themselves if the</w:t>
      </w:r>
      <w:r w:rsidR="00733896">
        <w:rPr>
          <w:rFonts w:cstheme="minorHAnsi"/>
          <w:color w:val="000000" w:themeColor="text1"/>
        </w:rPr>
        <w:t xml:space="preserve"> stocks</w:t>
      </w:r>
      <w:r w:rsidRPr="00B2412E">
        <w:rPr>
          <w:rFonts w:cstheme="minorHAnsi"/>
          <w:color w:val="000000" w:themeColor="text1"/>
        </w:rPr>
        <w:t xml:space="preserve"> are the focus of some types of carbon markets. For example, where carbon offset buyers are willing to pay owners of carbon stocks </w:t>
      </w:r>
      <w:r>
        <w:rPr>
          <w:rFonts w:cstheme="minorHAnsi"/>
          <w:color w:val="000000" w:themeColor="text1"/>
        </w:rPr>
        <w:t>cash or equivalent (e.g. debt swaps)</w:t>
      </w:r>
      <w:r w:rsidRPr="00B2412E">
        <w:rPr>
          <w:rFonts w:cstheme="minorHAnsi"/>
          <w:color w:val="000000" w:themeColor="text1"/>
        </w:rPr>
        <w:t xml:space="preserve"> to keep those carbon stocks in place, there are </w:t>
      </w:r>
      <w:r>
        <w:rPr>
          <w:rFonts w:cstheme="minorHAnsi"/>
          <w:color w:val="000000" w:themeColor="text1"/>
        </w:rPr>
        <w:t xml:space="preserve">potentially </w:t>
      </w:r>
      <w:r w:rsidRPr="00B2412E">
        <w:rPr>
          <w:rFonts w:cstheme="minorHAnsi"/>
          <w:color w:val="000000" w:themeColor="text1"/>
        </w:rPr>
        <w:t xml:space="preserve">meaningful instances where carbon stocks </w:t>
      </w:r>
      <w:r>
        <w:rPr>
          <w:rFonts w:cstheme="minorHAnsi"/>
          <w:color w:val="000000" w:themeColor="text1"/>
        </w:rPr>
        <w:t>may</w:t>
      </w:r>
      <w:r w:rsidRPr="00B2412E">
        <w:rPr>
          <w:rFonts w:cstheme="minorHAnsi"/>
          <w:color w:val="000000" w:themeColor="text1"/>
        </w:rPr>
        <w:t xml:space="preserve"> be considered economic assets. </w:t>
      </w:r>
      <w:r w:rsidR="007311B2">
        <w:rPr>
          <w:rFonts w:cstheme="minorHAnsi"/>
          <w:color w:val="000000" w:themeColor="text1"/>
        </w:rPr>
        <w:t>However,</w:t>
      </w:r>
      <w:r w:rsidR="00945AB5">
        <w:rPr>
          <w:rFonts w:cstheme="minorHAnsi"/>
          <w:color w:val="000000" w:themeColor="text1"/>
        </w:rPr>
        <w:t xml:space="preserve"> since the recognition of value </w:t>
      </w:r>
      <w:r w:rsidR="00FA557B">
        <w:rPr>
          <w:rFonts w:cstheme="minorHAnsi"/>
          <w:color w:val="000000" w:themeColor="text1"/>
        </w:rPr>
        <w:t xml:space="preserve">is currently </w:t>
      </w:r>
      <w:r w:rsidR="00945AB5">
        <w:rPr>
          <w:rFonts w:cstheme="minorHAnsi"/>
          <w:color w:val="000000" w:themeColor="text1"/>
        </w:rPr>
        <w:t>largely dependent on public policy</w:t>
      </w:r>
      <w:r w:rsidR="00FA557B">
        <w:rPr>
          <w:rFonts w:cstheme="minorHAnsi"/>
          <w:color w:val="000000" w:themeColor="text1"/>
        </w:rPr>
        <w:t xml:space="preserve"> (noting that voluntary carbon markets are increasing in prevalence)</w:t>
      </w:r>
      <w:r w:rsidR="0020145C">
        <w:rPr>
          <w:rFonts w:cstheme="minorHAnsi"/>
          <w:color w:val="000000" w:themeColor="text1"/>
        </w:rPr>
        <w:t xml:space="preserve"> it may be possible for appearance and disappearance of these assets to occur on a regular basis.</w:t>
      </w:r>
    </w:p>
    <w:p w14:paraId="2F993CEF" w14:textId="6FAF4764" w:rsidR="00E057C5" w:rsidRDefault="0020145C" w:rsidP="00E057C5">
      <w:pPr>
        <w:pStyle w:val="Paragraph"/>
        <w:rPr>
          <w:rFonts w:cstheme="minorHAnsi"/>
          <w:color w:val="000000" w:themeColor="text1"/>
          <w:lang w:val="en-GB"/>
        </w:rPr>
      </w:pPr>
      <w:r>
        <w:rPr>
          <w:rFonts w:cstheme="minorHAnsi"/>
          <w:color w:val="000000" w:themeColor="text1"/>
        </w:rPr>
        <w:t xml:space="preserve">Nonetheless, </w:t>
      </w:r>
      <w:r w:rsidR="00E057C5">
        <w:rPr>
          <w:rFonts w:cstheme="minorHAnsi"/>
          <w:color w:val="000000" w:themeColor="text1"/>
        </w:rPr>
        <w:t xml:space="preserve">in the update of the SEEA CF it may be beneficial to incorporate a structure that </w:t>
      </w:r>
      <w:r w:rsidR="00A7561B">
        <w:rPr>
          <w:rFonts w:cstheme="minorHAnsi"/>
          <w:color w:val="000000" w:themeColor="text1"/>
        </w:rPr>
        <w:t xml:space="preserve">allows the recording of the value of these carbon stocks to </w:t>
      </w:r>
      <w:r w:rsidR="00E057C5">
        <w:rPr>
          <w:rFonts w:cstheme="minorHAnsi"/>
          <w:color w:val="000000" w:themeColor="text1"/>
        </w:rPr>
        <w:t xml:space="preserve">support policy needs, even if the </w:t>
      </w:r>
      <w:r w:rsidR="00E057C5">
        <w:rPr>
          <w:rFonts w:cstheme="minorHAnsi"/>
          <w:color w:val="000000" w:themeColor="text1"/>
        </w:rPr>
        <w:lastRenderedPageBreak/>
        <w:t xml:space="preserve">exact location and type of carbon stocks </w:t>
      </w:r>
      <w:r w:rsidR="00F21F71">
        <w:rPr>
          <w:rFonts w:cstheme="minorHAnsi"/>
          <w:color w:val="000000" w:themeColor="text1"/>
        </w:rPr>
        <w:t xml:space="preserve">that may be treated as economic assets </w:t>
      </w:r>
      <w:r w:rsidR="00E057C5">
        <w:rPr>
          <w:rFonts w:cstheme="minorHAnsi"/>
          <w:color w:val="000000" w:themeColor="text1"/>
        </w:rPr>
        <w:t xml:space="preserve">are not known at present. In this way the </w:t>
      </w:r>
      <w:r w:rsidR="00B830CC">
        <w:rPr>
          <w:rFonts w:cstheme="minorHAnsi"/>
          <w:color w:val="000000" w:themeColor="text1"/>
        </w:rPr>
        <w:t xml:space="preserve">updated </w:t>
      </w:r>
      <w:r w:rsidR="00E057C5">
        <w:rPr>
          <w:rFonts w:cstheme="minorHAnsi"/>
          <w:color w:val="000000" w:themeColor="text1"/>
        </w:rPr>
        <w:t xml:space="preserve">SEEA CF </w:t>
      </w:r>
      <w:r w:rsidR="00B830CC">
        <w:rPr>
          <w:rFonts w:cstheme="minorHAnsi"/>
          <w:color w:val="000000" w:themeColor="text1"/>
        </w:rPr>
        <w:t xml:space="preserve">would provide a </w:t>
      </w:r>
      <w:r w:rsidR="00E057C5">
        <w:rPr>
          <w:rFonts w:cstheme="minorHAnsi"/>
          <w:color w:val="000000" w:themeColor="text1"/>
        </w:rPr>
        <w:t>f</w:t>
      </w:r>
      <w:r w:rsidR="00B830CC">
        <w:rPr>
          <w:rFonts w:cstheme="minorHAnsi"/>
          <w:color w:val="000000" w:themeColor="text1"/>
        </w:rPr>
        <w:t>ramework</w:t>
      </w:r>
      <w:r w:rsidR="00E057C5">
        <w:rPr>
          <w:rFonts w:cstheme="minorHAnsi"/>
          <w:color w:val="000000" w:themeColor="text1"/>
        </w:rPr>
        <w:t xml:space="preserve"> to support future policy needs</w:t>
      </w:r>
      <w:r w:rsidR="000A5D8F">
        <w:rPr>
          <w:rFonts w:cstheme="minorHAnsi"/>
          <w:color w:val="000000" w:themeColor="text1"/>
        </w:rPr>
        <w:t xml:space="preserve">, for example to </w:t>
      </w:r>
      <w:r w:rsidR="00A7520D">
        <w:rPr>
          <w:rFonts w:cstheme="minorHAnsi"/>
          <w:color w:val="000000" w:themeColor="text1"/>
        </w:rPr>
        <w:t>support analysis of the potential for certain stocks of carbon to be brought to market</w:t>
      </w:r>
      <w:r w:rsidR="00E057C5">
        <w:rPr>
          <w:rFonts w:cstheme="minorHAnsi"/>
          <w:color w:val="000000" w:themeColor="text1"/>
        </w:rPr>
        <w:t xml:space="preserve">. </w:t>
      </w:r>
      <w:r w:rsidR="00757440">
        <w:rPr>
          <w:rFonts w:cstheme="minorHAnsi"/>
          <w:color w:val="000000" w:themeColor="text1"/>
        </w:rPr>
        <w:t>As well, d</w:t>
      </w:r>
      <w:r w:rsidR="00E057C5">
        <w:rPr>
          <w:rFonts w:cstheme="minorHAnsi"/>
          <w:color w:val="000000" w:themeColor="text1"/>
        </w:rPr>
        <w:t xml:space="preserve">emonstrating the connection between </w:t>
      </w:r>
      <w:r w:rsidR="00E057C5">
        <w:rPr>
          <w:rFonts w:cstheme="minorHAnsi"/>
          <w:color w:val="000000" w:themeColor="text1"/>
          <w:lang w:val="en-GB"/>
        </w:rPr>
        <w:t xml:space="preserve">the carbon stock and the wider </w:t>
      </w:r>
      <w:r w:rsidR="00757440">
        <w:rPr>
          <w:rFonts w:cstheme="minorHAnsi"/>
          <w:color w:val="000000" w:themeColor="text1"/>
          <w:lang w:val="en-GB"/>
        </w:rPr>
        <w:t xml:space="preserve">SNA </w:t>
      </w:r>
      <w:r w:rsidR="00E057C5">
        <w:rPr>
          <w:rFonts w:cstheme="minorHAnsi"/>
          <w:color w:val="000000" w:themeColor="text1"/>
          <w:lang w:val="en-GB"/>
        </w:rPr>
        <w:t>balance sheet and the associated connection to the climate system may be very useful.</w:t>
      </w:r>
    </w:p>
    <w:p w14:paraId="63DF3536" w14:textId="02C24CA5" w:rsidR="00612C10" w:rsidRPr="00612C10" w:rsidRDefault="00E057C5" w:rsidP="0069777A">
      <w:pPr>
        <w:pStyle w:val="Paragraph"/>
        <w:rPr>
          <w:rFonts w:cstheme="minorHAnsi"/>
          <w:color w:val="000000" w:themeColor="text1"/>
          <w:lang w:val="en-GB"/>
        </w:rPr>
      </w:pPr>
      <w:r>
        <w:rPr>
          <w:lang w:val="en-GB"/>
        </w:rPr>
        <w:t>At the same time, i</w:t>
      </w:r>
      <w:r w:rsidR="0069777A">
        <w:rPr>
          <w:lang w:val="en-GB"/>
        </w:rPr>
        <w:t xml:space="preserve">t is relevant to highlight that further examination of this issue will not identify that all carbon stocks have value, only specific stocks in specific circumstances. In effect, </w:t>
      </w:r>
      <w:r w:rsidR="000D6E37">
        <w:rPr>
          <w:lang w:val="en-GB"/>
        </w:rPr>
        <w:t xml:space="preserve">measurement scope would be limited </w:t>
      </w:r>
      <w:r w:rsidR="0069777A">
        <w:rPr>
          <w:lang w:val="en-GB"/>
        </w:rPr>
        <w:t xml:space="preserve">to those carbon stocks that contribute to avoided </w:t>
      </w:r>
      <w:proofErr w:type="gramStart"/>
      <w:r w:rsidR="0069777A">
        <w:rPr>
          <w:lang w:val="en-GB"/>
        </w:rPr>
        <w:t>emissions</w:t>
      </w:r>
      <w:proofErr w:type="gramEnd"/>
      <w:r w:rsidR="00D87533">
        <w:rPr>
          <w:lang w:val="en-GB"/>
        </w:rPr>
        <w:t xml:space="preserve"> and which are subject to market mechanisms</w:t>
      </w:r>
      <w:r w:rsidR="00A7520D">
        <w:rPr>
          <w:lang w:val="en-GB"/>
        </w:rPr>
        <w:t xml:space="preserve"> and the policy environment that shapes these market mechanisms</w:t>
      </w:r>
      <w:r w:rsidR="00D87533">
        <w:rPr>
          <w:lang w:val="en-GB"/>
        </w:rPr>
        <w:t xml:space="preserve">. </w:t>
      </w:r>
    </w:p>
    <w:p w14:paraId="314D41B0" w14:textId="32A41E51" w:rsidR="00F24185" w:rsidRPr="00F24185" w:rsidRDefault="00F24185" w:rsidP="0069777A">
      <w:pPr>
        <w:pStyle w:val="Paragraph"/>
        <w:rPr>
          <w:rFonts w:cstheme="minorHAnsi"/>
          <w:color w:val="000000" w:themeColor="text1"/>
          <w:lang w:val="en-GB"/>
        </w:rPr>
      </w:pPr>
      <w:r>
        <w:rPr>
          <w:lang w:val="en-GB"/>
        </w:rPr>
        <w:t xml:space="preserve">Moving beyond </w:t>
      </w:r>
      <w:r w:rsidR="00500CF7">
        <w:rPr>
          <w:lang w:val="en-GB"/>
        </w:rPr>
        <w:t xml:space="preserve">economic assets and into the scope of ecosystem assets, another monetary value might be accounted for </w:t>
      </w:r>
      <w:r w:rsidR="00F312B5">
        <w:rPr>
          <w:lang w:val="en-GB"/>
        </w:rPr>
        <w:t xml:space="preserve">namely the carbon stocks that contribute to avoided emissions, irrespective of whether they are linked to a market mechanism. </w:t>
      </w:r>
      <w:r w:rsidR="00982591">
        <w:rPr>
          <w:lang w:val="en-GB"/>
        </w:rPr>
        <w:t xml:space="preserve">Such a </w:t>
      </w:r>
      <w:r w:rsidR="00612C10">
        <w:rPr>
          <w:lang w:val="en-GB"/>
        </w:rPr>
        <w:t xml:space="preserve">monetary </w:t>
      </w:r>
      <w:r w:rsidR="00982591">
        <w:rPr>
          <w:lang w:val="en-GB"/>
        </w:rPr>
        <w:t>value is currently incorporated in estimating flows of global climate regulation services</w:t>
      </w:r>
      <w:r w:rsidR="00FC11BD">
        <w:rPr>
          <w:lang w:val="en-GB"/>
        </w:rPr>
        <w:t xml:space="preserve">, derived from the </w:t>
      </w:r>
      <w:r w:rsidR="006E7FDF">
        <w:rPr>
          <w:lang w:val="en-GB"/>
        </w:rPr>
        <w:t>annual retention of carbon stocks or sequestration</w:t>
      </w:r>
      <w:r w:rsidR="00982591">
        <w:rPr>
          <w:lang w:val="en-GB"/>
        </w:rPr>
        <w:t xml:space="preserve">. </w:t>
      </w:r>
    </w:p>
    <w:p w14:paraId="055826E3" w14:textId="713F74E7" w:rsidR="00856EF7" w:rsidRPr="008F1EDC" w:rsidRDefault="0069777A" w:rsidP="0069777A">
      <w:pPr>
        <w:pStyle w:val="Paragraph"/>
        <w:rPr>
          <w:rFonts w:cstheme="minorHAnsi"/>
          <w:color w:val="000000" w:themeColor="text1"/>
          <w:lang w:val="en-GB"/>
        </w:rPr>
      </w:pPr>
      <w:r>
        <w:rPr>
          <w:lang w:val="en-GB"/>
        </w:rPr>
        <w:t xml:space="preserve">Second, the valuation of carbon stocks might be considered </w:t>
      </w:r>
      <w:r w:rsidR="00612C10">
        <w:rPr>
          <w:lang w:val="en-GB"/>
        </w:rPr>
        <w:t>beyond</w:t>
      </w:r>
      <w:r w:rsidR="00955DD3">
        <w:rPr>
          <w:lang w:val="en-GB"/>
        </w:rPr>
        <w:t xml:space="preserve"> their contribution to avoided emissions</w:t>
      </w:r>
      <w:r>
        <w:rPr>
          <w:lang w:val="en-GB"/>
        </w:rPr>
        <w:t>. Building on the suggestion above that carbon stocks might be treated as a third category of environmental assets (</w:t>
      </w:r>
      <w:r w:rsidR="00955DD3">
        <w:rPr>
          <w:lang w:val="en-GB"/>
        </w:rPr>
        <w:t xml:space="preserve">i.e. a </w:t>
      </w:r>
      <w:r>
        <w:rPr>
          <w:lang w:val="en-GB"/>
        </w:rPr>
        <w:t xml:space="preserve">separate but overlapping </w:t>
      </w:r>
      <w:r w:rsidR="001F44EC">
        <w:rPr>
          <w:lang w:val="en-GB"/>
        </w:rPr>
        <w:t xml:space="preserve">category alongside </w:t>
      </w:r>
      <w:r>
        <w:rPr>
          <w:lang w:val="en-GB"/>
        </w:rPr>
        <w:t xml:space="preserve">individual environmental assets and ecosystem assets), it would be possible to envisage placing a </w:t>
      </w:r>
      <w:r w:rsidR="001F44EC">
        <w:rPr>
          <w:lang w:val="en-GB"/>
        </w:rPr>
        <w:t xml:space="preserve">separate aggregate </w:t>
      </w:r>
      <w:r>
        <w:rPr>
          <w:lang w:val="en-GB"/>
        </w:rPr>
        <w:t xml:space="preserve">value on a range of carbon stocks </w:t>
      </w:r>
      <w:r w:rsidR="001F44EC">
        <w:rPr>
          <w:lang w:val="en-GB"/>
        </w:rPr>
        <w:t xml:space="preserve">linked to the benefits provided other </w:t>
      </w:r>
      <w:r>
        <w:rPr>
          <w:lang w:val="en-GB"/>
        </w:rPr>
        <w:t xml:space="preserve">than avoided emissions. For example, </w:t>
      </w:r>
      <w:r w:rsidR="002C4CC4">
        <w:rPr>
          <w:lang w:val="en-GB"/>
        </w:rPr>
        <w:t xml:space="preserve">values associated with </w:t>
      </w:r>
      <w:r>
        <w:rPr>
          <w:lang w:val="en-GB"/>
        </w:rPr>
        <w:t>fossil fuel resources,</w:t>
      </w:r>
      <w:r w:rsidR="00856EF7">
        <w:rPr>
          <w:lang w:val="en-GB"/>
        </w:rPr>
        <w:t xml:space="preserve"> diamonds,</w:t>
      </w:r>
      <w:r>
        <w:rPr>
          <w:lang w:val="en-GB"/>
        </w:rPr>
        <w:t xml:space="preserve"> </w:t>
      </w:r>
      <w:r w:rsidR="00A64104">
        <w:rPr>
          <w:lang w:val="en-GB"/>
        </w:rPr>
        <w:t xml:space="preserve">and </w:t>
      </w:r>
      <w:r>
        <w:rPr>
          <w:lang w:val="en-GB"/>
        </w:rPr>
        <w:t xml:space="preserve">timber resources, might </w:t>
      </w:r>
      <w:r w:rsidR="002C4CC4">
        <w:rPr>
          <w:lang w:val="en-GB"/>
        </w:rPr>
        <w:t xml:space="preserve">be collated to separately </w:t>
      </w:r>
      <w:r w:rsidR="007A37F6">
        <w:rPr>
          <w:lang w:val="en-GB"/>
        </w:rPr>
        <w:t xml:space="preserve">recognise the </w:t>
      </w:r>
      <w:r>
        <w:rPr>
          <w:lang w:val="en-GB"/>
        </w:rPr>
        <w:t xml:space="preserve">value </w:t>
      </w:r>
      <w:r w:rsidR="007A37F6">
        <w:rPr>
          <w:lang w:val="en-GB"/>
        </w:rPr>
        <w:t xml:space="preserve">of these assets which can be </w:t>
      </w:r>
      <w:r>
        <w:rPr>
          <w:lang w:val="en-GB"/>
        </w:rPr>
        <w:t xml:space="preserve">attributed to the carbon stock embodied in them. </w:t>
      </w:r>
    </w:p>
    <w:p w14:paraId="0FD7BA40" w14:textId="0EE4F3FD" w:rsidR="008F1EDC" w:rsidRPr="00562ED5" w:rsidRDefault="008F1EDC" w:rsidP="0069777A">
      <w:pPr>
        <w:pStyle w:val="Paragraph"/>
        <w:rPr>
          <w:rFonts w:cstheme="minorHAnsi"/>
          <w:color w:val="000000" w:themeColor="text1"/>
          <w:lang w:val="en-GB"/>
        </w:rPr>
      </w:pPr>
      <w:r>
        <w:rPr>
          <w:lang w:val="en-GB"/>
        </w:rPr>
        <w:t xml:space="preserve">Third, while it is </w:t>
      </w:r>
      <w:r w:rsidR="003F08AF">
        <w:rPr>
          <w:lang w:val="en-GB"/>
        </w:rPr>
        <w:t xml:space="preserve">possible for some carbon stocks to have or be associated with monetary values, </w:t>
      </w:r>
      <w:r w:rsidR="00090F35">
        <w:rPr>
          <w:lang w:val="en-GB"/>
        </w:rPr>
        <w:t xml:space="preserve">it is generally agreed that the value of the total carbon stock – i.e. across all </w:t>
      </w:r>
      <w:r w:rsidR="00FD007C">
        <w:rPr>
          <w:lang w:val="en-GB"/>
        </w:rPr>
        <w:t xml:space="preserve">carbon reservoirs – is not an economically meaningful concept. </w:t>
      </w:r>
      <w:r w:rsidR="00027A98">
        <w:rPr>
          <w:lang w:val="en-GB"/>
        </w:rPr>
        <w:t xml:space="preserve">Thus, much as for the valuation of water, only in cases where a marginal value can be identified should </w:t>
      </w:r>
      <w:r w:rsidR="00865C1A">
        <w:rPr>
          <w:lang w:val="en-GB"/>
        </w:rPr>
        <w:t xml:space="preserve">a </w:t>
      </w:r>
      <w:r w:rsidR="003D719F">
        <w:rPr>
          <w:lang w:val="en-GB"/>
        </w:rPr>
        <w:t xml:space="preserve">monetary </w:t>
      </w:r>
      <w:r w:rsidR="002B4ECA">
        <w:rPr>
          <w:lang w:val="en-GB"/>
        </w:rPr>
        <w:t xml:space="preserve">valuation of the carbon stock </w:t>
      </w:r>
      <w:r w:rsidR="00B62AC4">
        <w:rPr>
          <w:lang w:val="en-GB"/>
        </w:rPr>
        <w:t>be considered</w:t>
      </w:r>
      <w:r w:rsidR="002B4ECA">
        <w:rPr>
          <w:lang w:val="en-GB"/>
        </w:rPr>
        <w:t>.</w:t>
      </w:r>
    </w:p>
    <w:p w14:paraId="1435682E" w14:textId="5B3C91DC" w:rsidR="002239F6" w:rsidRDefault="00856EF7" w:rsidP="002239F6">
      <w:pPr>
        <w:pStyle w:val="Paragraph"/>
        <w:rPr>
          <w:lang w:val="en-GB"/>
        </w:rPr>
      </w:pPr>
      <w:r>
        <w:rPr>
          <w:rFonts w:cstheme="minorHAnsi"/>
          <w:color w:val="000000" w:themeColor="text1"/>
        </w:rPr>
        <w:t>Overall, it appears possible to identify some values associated with the carbon stock that could be considered to fall within the valuation scope generally applied in the SEEA CF</w:t>
      </w:r>
      <w:r w:rsidR="00D3678C">
        <w:rPr>
          <w:rFonts w:cstheme="minorHAnsi"/>
          <w:color w:val="000000" w:themeColor="text1"/>
        </w:rPr>
        <w:t>, i.e. satisfying the definition of economic assets in the SNA</w:t>
      </w:r>
      <w:r>
        <w:rPr>
          <w:rFonts w:cstheme="minorHAnsi"/>
          <w:color w:val="000000" w:themeColor="text1"/>
        </w:rPr>
        <w:t>. Certainly, further investigation is required of the value of carbon stocks that are directly related to carbon markets</w:t>
      </w:r>
      <w:r w:rsidR="00926CB9">
        <w:rPr>
          <w:rFonts w:cstheme="minorHAnsi"/>
          <w:color w:val="000000" w:themeColor="text1"/>
        </w:rPr>
        <w:t xml:space="preserve"> and </w:t>
      </w:r>
      <w:r w:rsidR="00511A34">
        <w:rPr>
          <w:rFonts w:cstheme="minorHAnsi"/>
          <w:color w:val="000000" w:themeColor="text1"/>
        </w:rPr>
        <w:t xml:space="preserve">discussion with the national </w:t>
      </w:r>
      <w:proofErr w:type="gramStart"/>
      <w:r w:rsidR="00511A34">
        <w:rPr>
          <w:rFonts w:cstheme="minorHAnsi"/>
          <w:color w:val="000000" w:themeColor="text1"/>
        </w:rPr>
        <w:t>accounts</w:t>
      </w:r>
      <w:proofErr w:type="gramEnd"/>
      <w:r w:rsidR="00511A34">
        <w:rPr>
          <w:rFonts w:cstheme="minorHAnsi"/>
          <w:color w:val="000000" w:themeColor="text1"/>
        </w:rPr>
        <w:t xml:space="preserve"> community in terms of the links to the 2025 SNA will be needed.</w:t>
      </w:r>
      <w:r>
        <w:rPr>
          <w:rFonts w:cstheme="minorHAnsi"/>
          <w:color w:val="000000" w:themeColor="text1"/>
        </w:rPr>
        <w:t xml:space="preserve"> However, it is also apparent that any estimated value will relate to a relatively small share of the carbon stock in physical terms. This suggest</w:t>
      </w:r>
      <w:r w:rsidR="008A4E54">
        <w:rPr>
          <w:rFonts w:cstheme="minorHAnsi"/>
          <w:color w:val="000000" w:themeColor="text1"/>
        </w:rPr>
        <w:t>s</w:t>
      </w:r>
      <w:r>
        <w:rPr>
          <w:rFonts w:cstheme="minorHAnsi"/>
          <w:color w:val="000000" w:themeColor="text1"/>
        </w:rPr>
        <w:t xml:space="preserve"> that compilation of a carbon stock account in monetary terms is not appropriate.</w:t>
      </w:r>
    </w:p>
    <w:p w14:paraId="55C55356" w14:textId="77777777" w:rsidR="002F6115" w:rsidRDefault="002F6115" w:rsidP="005E3731">
      <w:pPr>
        <w:rPr>
          <w:lang w:val="en-GB"/>
        </w:rPr>
      </w:pPr>
    </w:p>
    <w:p w14:paraId="18106205" w14:textId="3328C3C2" w:rsidR="00D90260" w:rsidRDefault="00C50259" w:rsidP="007665A5">
      <w:pPr>
        <w:pStyle w:val="Heading1"/>
      </w:pPr>
      <w:bookmarkStart w:id="16" w:name="_Toc239173046"/>
      <w:r w:rsidRPr="009E4D2B">
        <w:lastRenderedPageBreak/>
        <w:t xml:space="preserve">Measurement boundaries and accounting treatments for </w:t>
      </w:r>
      <w:r w:rsidR="00C34308" w:rsidRPr="009E4D2B">
        <w:t>carbon stock accounts</w:t>
      </w:r>
      <w:bookmarkEnd w:id="16"/>
    </w:p>
    <w:p w14:paraId="1D4CC77B" w14:textId="182B4465" w:rsidR="000D3FDA" w:rsidRDefault="00070D33" w:rsidP="007665A5">
      <w:pPr>
        <w:pStyle w:val="Heading2"/>
        <w:rPr>
          <w:lang w:val="en-GB"/>
        </w:rPr>
      </w:pPr>
      <w:bookmarkStart w:id="17" w:name="_Toc239173047"/>
      <w:r>
        <w:t>Introduction</w:t>
      </w:r>
      <w:bookmarkEnd w:id="17"/>
    </w:p>
    <w:p w14:paraId="7E0BD20C" w14:textId="7B4EBBAD" w:rsidR="00C50259" w:rsidRDefault="000B0467" w:rsidP="00C50259">
      <w:pPr>
        <w:pStyle w:val="Paragraph"/>
        <w:rPr>
          <w:lang w:val="en-GB"/>
        </w:rPr>
      </w:pPr>
      <w:r>
        <w:rPr>
          <w:lang w:val="en-GB"/>
        </w:rPr>
        <w:t xml:space="preserve">As part of determining whether </w:t>
      </w:r>
      <w:r w:rsidR="005C632C">
        <w:rPr>
          <w:lang w:val="en-GB"/>
        </w:rPr>
        <w:t>the</w:t>
      </w:r>
      <w:r w:rsidR="00C50259">
        <w:rPr>
          <w:lang w:val="en-GB"/>
        </w:rPr>
        <w:t xml:space="preserve"> carbon stock accounts</w:t>
      </w:r>
      <w:r>
        <w:rPr>
          <w:lang w:val="en-GB"/>
        </w:rPr>
        <w:t xml:space="preserve"> should be included </w:t>
      </w:r>
      <w:r w:rsidR="00C50259">
        <w:rPr>
          <w:lang w:val="en-GB"/>
        </w:rPr>
        <w:t>in the updated SEEA CF</w:t>
      </w:r>
      <w:r>
        <w:rPr>
          <w:lang w:val="en-GB"/>
        </w:rPr>
        <w:t xml:space="preserve">, </w:t>
      </w:r>
      <w:r w:rsidR="00C50259">
        <w:rPr>
          <w:lang w:val="en-GB"/>
        </w:rPr>
        <w:t xml:space="preserve">the following conceptual and measurement </w:t>
      </w:r>
      <w:r>
        <w:rPr>
          <w:lang w:val="en-GB"/>
        </w:rPr>
        <w:t xml:space="preserve">improvements to the content currently in the SEEA EA </w:t>
      </w:r>
      <w:r w:rsidR="00AC44B9">
        <w:rPr>
          <w:lang w:val="en-GB"/>
        </w:rPr>
        <w:t>are</w:t>
      </w:r>
      <w:r>
        <w:rPr>
          <w:lang w:val="en-GB"/>
        </w:rPr>
        <w:t xml:space="preserve"> considered</w:t>
      </w:r>
      <w:r w:rsidR="00AC44B9">
        <w:rPr>
          <w:lang w:val="en-GB"/>
        </w:rPr>
        <w:t xml:space="preserve"> the primary areas of focus</w:t>
      </w:r>
      <w:r w:rsidR="00DA426D">
        <w:rPr>
          <w:lang w:val="en-GB"/>
        </w:rPr>
        <w:t xml:space="preserve">. </w:t>
      </w:r>
      <w:r w:rsidR="00DB4591">
        <w:rPr>
          <w:lang w:val="en-GB"/>
        </w:rPr>
        <w:t xml:space="preserve">They are </w:t>
      </w:r>
      <w:r w:rsidR="005A5FC1">
        <w:rPr>
          <w:lang w:val="en-GB"/>
        </w:rPr>
        <w:t>discussed</w:t>
      </w:r>
      <w:r w:rsidR="00DB4591">
        <w:rPr>
          <w:lang w:val="en-GB"/>
        </w:rPr>
        <w:t xml:space="preserve"> in relation to four primary questions.</w:t>
      </w:r>
      <w:r w:rsidR="00A90F5A">
        <w:rPr>
          <w:lang w:val="en-GB"/>
        </w:rPr>
        <w:t xml:space="preserve"> Note that these issues concern accounting for carbon stocks in physical terms only. </w:t>
      </w:r>
    </w:p>
    <w:p w14:paraId="0DB5626F" w14:textId="109EE872" w:rsidR="00C50259" w:rsidRPr="003C1B91" w:rsidRDefault="009E4D2B" w:rsidP="00EB28E8">
      <w:pPr>
        <w:pStyle w:val="ListParagraph"/>
        <w:numPr>
          <w:ilvl w:val="1"/>
          <w:numId w:val="8"/>
        </w:numPr>
        <w:spacing w:after="120"/>
        <w:ind w:right="724"/>
        <w:jc w:val="both"/>
        <w:rPr>
          <w:rFonts w:asciiTheme="minorHAnsi" w:hAnsiTheme="minorHAnsi" w:cstheme="minorHAnsi"/>
          <w:lang w:val="en-GB"/>
        </w:rPr>
      </w:pPr>
      <w:r w:rsidRPr="003C1B91">
        <w:rPr>
          <w:rFonts w:asciiTheme="minorHAnsi" w:hAnsiTheme="minorHAnsi" w:cstheme="minorHAnsi"/>
          <w:lang w:val="en-GB"/>
        </w:rPr>
        <w:t xml:space="preserve">Should </w:t>
      </w:r>
      <w:r w:rsidR="00C50259" w:rsidRPr="003C1B91">
        <w:rPr>
          <w:rFonts w:asciiTheme="minorHAnsi" w:hAnsiTheme="minorHAnsi" w:cstheme="minorHAnsi"/>
          <w:lang w:val="en-GB"/>
        </w:rPr>
        <w:t xml:space="preserve">all </w:t>
      </w:r>
      <w:r w:rsidR="005346A9">
        <w:rPr>
          <w:rFonts w:asciiTheme="minorHAnsi" w:hAnsiTheme="minorHAnsi" w:cstheme="minorHAnsi"/>
          <w:lang w:val="en-GB"/>
        </w:rPr>
        <w:t xml:space="preserve">five primary </w:t>
      </w:r>
      <w:r w:rsidR="00C50259" w:rsidRPr="003C1B91">
        <w:rPr>
          <w:rFonts w:asciiTheme="minorHAnsi" w:hAnsiTheme="minorHAnsi" w:cstheme="minorHAnsi"/>
          <w:lang w:val="en-GB"/>
        </w:rPr>
        <w:t>carbon reservoirs be within scope of a carbon stock account</w:t>
      </w:r>
      <w:r w:rsidR="00D557F0">
        <w:rPr>
          <w:rFonts w:asciiTheme="minorHAnsi" w:hAnsiTheme="minorHAnsi" w:cstheme="minorHAnsi"/>
          <w:lang w:val="en-GB"/>
        </w:rPr>
        <w:t xml:space="preserve"> – i.e. </w:t>
      </w:r>
      <w:r w:rsidR="005346A9">
        <w:rPr>
          <w:rFonts w:asciiTheme="minorHAnsi" w:hAnsiTheme="minorHAnsi" w:cstheme="minorHAnsi"/>
          <w:lang w:val="en-GB"/>
        </w:rPr>
        <w:t xml:space="preserve">biosphere, geosphere, economy, atmosphere and </w:t>
      </w:r>
      <w:proofErr w:type="gramStart"/>
      <w:r w:rsidR="005346A9">
        <w:rPr>
          <w:rFonts w:asciiTheme="minorHAnsi" w:hAnsiTheme="minorHAnsi" w:cstheme="minorHAnsi"/>
          <w:lang w:val="en-GB"/>
        </w:rPr>
        <w:t xml:space="preserve">oceans </w:t>
      </w:r>
      <w:r w:rsidRPr="003C1B91">
        <w:rPr>
          <w:rFonts w:asciiTheme="minorHAnsi" w:hAnsiTheme="minorHAnsi" w:cstheme="minorHAnsi"/>
          <w:lang w:val="en-GB"/>
        </w:rPr>
        <w:t>?</w:t>
      </w:r>
      <w:proofErr w:type="gramEnd"/>
    </w:p>
    <w:p w14:paraId="6A746D29" w14:textId="0C6A207D" w:rsidR="00927A4A" w:rsidRDefault="00B52A2C">
      <w:pPr>
        <w:pStyle w:val="ListParagraph"/>
        <w:numPr>
          <w:ilvl w:val="0"/>
          <w:numId w:val="28"/>
        </w:numPr>
        <w:spacing w:after="120"/>
        <w:ind w:left="1843" w:right="724"/>
        <w:jc w:val="both"/>
        <w:rPr>
          <w:rFonts w:asciiTheme="minorHAnsi" w:hAnsiTheme="minorHAnsi" w:cstheme="minorHAnsi"/>
          <w:lang w:val="en-GB"/>
        </w:rPr>
      </w:pPr>
      <w:r w:rsidRPr="003C1B91">
        <w:rPr>
          <w:rFonts w:asciiTheme="minorHAnsi" w:hAnsiTheme="minorHAnsi" w:cstheme="minorHAnsi"/>
          <w:lang w:val="en-GB"/>
        </w:rPr>
        <w:t>Conceptually</w:t>
      </w:r>
      <w:r w:rsidR="00635D86">
        <w:rPr>
          <w:rFonts w:asciiTheme="minorHAnsi" w:hAnsiTheme="minorHAnsi" w:cstheme="minorHAnsi"/>
          <w:lang w:val="en-GB"/>
        </w:rPr>
        <w:t>,</w:t>
      </w:r>
      <w:r w:rsidRPr="003C1B91">
        <w:rPr>
          <w:rFonts w:asciiTheme="minorHAnsi" w:hAnsiTheme="minorHAnsi" w:cstheme="minorHAnsi"/>
          <w:lang w:val="en-GB"/>
        </w:rPr>
        <w:t xml:space="preserve"> </w:t>
      </w:r>
      <w:r w:rsidR="001B64D2">
        <w:rPr>
          <w:rFonts w:asciiTheme="minorHAnsi" w:hAnsiTheme="minorHAnsi" w:cstheme="minorHAnsi"/>
          <w:lang w:val="en-GB"/>
        </w:rPr>
        <w:t>it is proposed that the scope of the carbon stock account should include all carbon reservoirs</w:t>
      </w:r>
      <w:r w:rsidR="00024783">
        <w:rPr>
          <w:rFonts w:asciiTheme="minorHAnsi" w:hAnsiTheme="minorHAnsi" w:cstheme="minorHAnsi"/>
          <w:lang w:val="en-GB"/>
        </w:rPr>
        <w:t xml:space="preserve"> maintaining the scope of the accounts described in the SEEA EA.</w:t>
      </w:r>
      <w:r w:rsidRPr="003C1B91">
        <w:rPr>
          <w:rFonts w:asciiTheme="minorHAnsi" w:hAnsiTheme="minorHAnsi" w:cstheme="minorHAnsi"/>
          <w:lang w:val="en-GB"/>
        </w:rPr>
        <w:t xml:space="preserve"> </w:t>
      </w:r>
    </w:p>
    <w:p w14:paraId="35273D18" w14:textId="386739E7" w:rsidR="00070D33" w:rsidRPr="00562ED5" w:rsidRDefault="00070D33">
      <w:pPr>
        <w:pStyle w:val="ListParagraph"/>
        <w:numPr>
          <w:ilvl w:val="0"/>
          <w:numId w:val="28"/>
        </w:numPr>
        <w:spacing w:after="120"/>
        <w:ind w:left="1843" w:right="724"/>
        <w:jc w:val="both"/>
        <w:rPr>
          <w:rFonts w:ascii="Calibri" w:hAnsi="Calibri" w:cs="Calibri"/>
          <w:lang w:val="en-GB"/>
        </w:rPr>
      </w:pPr>
      <w:r>
        <w:rPr>
          <w:rFonts w:ascii="Calibri" w:hAnsi="Calibri" w:cs="Calibri"/>
        </w:rPr>
        <w:t xml:space="preserve">The carbon stock account presented in </w:t>
      </w:r>
      <w:r w:rsidRPr="00DB4591">
        <w:rPr>
          <w:rFonts w:ascii="Calibri" w:hAnsi="Calibri" w:cs="Calibri"/>
        </w:rPr>
        <w:t>Table 1</w:t>
      </w:r>
      <w:r>
        <w:rPr>
          <w:rFonts w:ascii="Calibri" w:hAnsi="Calibri" w:cs="Calibri"/>
        </w:rPr>
        <w:t xml:space="preserve"> is from the SEEA EA</w:t>
      </w:r>
      <w:r w:rsidRPr="00DB4591">
        <w:rPr>
          <w:rFonts w:ascii="Calibri" w:hAnsi="Calibri" w:cs="Calibri"/>
        </w:rPr>
        <w:t xml:space="preserve"> </w:t>
      </w:r>
      <w:r>
        <w:rPr>
          <w:rFonts w:ascii="Calibri" w:hAnsi="Calibri" w:cs="Calibri"/>
        </w:rPr>
        <w:t xml:space="preserve">and </w:t>
      </w:r>
      <w:r w:rsidRPr="00DB4591">
        <w:rPr>
          <w:rFonts w:ascii="Calibri" w:hAnsi="Calibri" w:cs="Calibri"/>
        </w:rPr>
        <w:t xml:space="preserve">uses column headings of </w:t>
      </w:r>
      <w:proofErr w:type="spellStart"/>
      <w:r w:rsidRPr="00DB4591">
        <w:rPr>
          <w:rFonts w:ascii="Calibri" w:hAnsi="Calibri" w:cs="Calibri"/>
        </w:rPr>
        <w:t>geocarbon</w:t>
      </w:r>
      <w:proofErr w:type="spellEnd"/>
      <w:r w:rsidRPr="00DB4591">
        <w:rPr>
          <w:rFonts w:ascii="Calibri" w:hAnsi="Calibri" w:cs="Calibri"/>
        </w:rPr>
        <w:t xml:space="preserve">, biocarbon, </w:t>
      </w:r>
      <w:r w:rsidR="0042353F">
        <w:rPr>
          <w:rFonts w:ascii="Calibri" w:hAnsi="Calibri" w:cs="Calibri"/>
        </w:rPr>
        <w:t xml:space="preserve">carbon in the economy, carbon in </w:t>
      </w:r>
      <w:r w:rsidR="007857B8">
        <w:rPr>
          <w:rFonts w:ascii="Calibri" w:hAnsi="Calibri" w:cs="Calibri"/>
        </w:rPr>
        <w:t xml:space="preserve">the </w:t>
      </w:r>
      <w:r w:rsidRPr="00DB4591">
        <w:rPr>
          <w:rFonts w:ascii="Calibri" w:hAnsi="Calibri" w:cs="Calibri"/>
        </w:rPr>
        <w:t>seas</w:t>
      </w:r>
      <w:r w:rsidR="007857B8">
        <w:rPr>
          <w:rFonts w:ascii="Calibri" w:hAnsi="Calibri" w:cs="Calibri"/>
        </w:rPr>
        <w:t xml:space="preserve"> and carbon in the atmosphere</w:t>
      </w:r>
      <w:r w:rsidRPr="00DB4591">
        <w:rPr>
          <w:rFonts w:ascii="Calibri" w:hAnsi="Calibri" w:cs="Calibri"/>
        </w:rPr>
        <w:t>.</w:t>
      </w:r>
      <w:r>
        <w:rPr>
          <w:rFonts w:ascii="Calibri" w:hAnsi="Calibri" w:cs="Calibri"/>
        </w:rPr>
        <w:t xml:space="preserve"> It is proposed to update these labels to refer to the </w:t>
      </w:r>
      <w:r w:rsidRPr="00562ED5">
        <w:rPr>
          <w:rFonts w:ascii="Calibri" w:hAnsi="Calibri" w:cs="Calibri"/>
        </w:rPr>
        <w:t>geosphere, biosphere</w:t>
      </w:r>
      <w:r w:rsidR="00795565">
        <w:rPr>
          <w:rFonts w:ascii="Calibri" w:hAnsi="Calibri" w:cs="Calibri"/>
        </w:rPr>
        <w:t>, economy,</w:t>
      </w:r>
      <w:r w:rsidRPr="00562ED5">
        <w:rPr>
          <w:rFonts w:ascii="Calibri" w:hAnsi="Calibri" w:cs="Calibri"/>
        </w:rPr>
        <w:t xml:space="preserve"> oceans</w:t>
      </w:r>
      <w:r w:rsidR="00795565">
        <w:rPr>
          <w:rFonts w:ascii="Calibri" w:hAnsi="Calibri" w:cs="Calibri"/>
        </w:rPr>
        <w:t xml:space="preserve"> and atmosphere</w:t>
      </w:r>
      <w:r w:rsidRPr="00562ED5">
        <w:rPr>
          <w:rFonts w:ascii="Calibri" w:hAnsi="Calibri" w:cs="Calibri"/>
        </w:rPr>
        <w:t xml:space="preserve">. </w:t>
      </w:r>
      <w:r>
        <w:rPr>
          <w:rFonts w:ascii="Calibri" w:hAnsi="Calibri" w:cs="Calibri"/>
        </w:rPr>
        <w:t>Further,</w:t>
      </w:r>
      <w:r w:rsidRPr="00DB4591">
        <w:rPr>
          <w:rFonts w:ascii="Calibri" w:hAnsi="Calibri" w:cs="Calibri"/>
        </w:rPr>
        <w:t xml:space="preserve"> </w:t>
      </w:r>
      <w:r>
        <w:rPr>
          <w:rFonts w:ascii="Calibri" w:hAnsi="Calibri" w:cs="Calibri"/>
        </w:rPr>
        <w:t>t</w:t>
      </w:r>
      <w:r w:rsidRPr="00DB4591">
        <w:rPr>
          <w:rFonts w:ascii="Calibri" w:hAnsi="Calibri" w:cs="Calibri"/>
        </w:rPr>
        <w:t>he oceans should be disaggregated into organic and inorganic carbon</w:t>
      </w:r>
      <w:r>
        <w:rPr>
          <w:rFonts w:ascii="Calibri" w:hAnsi="Calibri" w:cs="Calibri"/>
        </w:rPr>
        <w:t xml:space="preserve">, where </w:t>
      </w:r>
      <w:r w:rsidRPr="00562ED5">
        <w:rPr>
          <w:rFonts w:ascii="Calibri" w:hAnsi="Calibri" w:cs="Calibri"/>
        </w:rPr>
        <w:t xml:space="preserve">the </w:t>
      </w:r>
      <w:r w:rsidR="002F266A">
        <w:rPr>
          <w:rFonts w:ascii="Calibri" w:hAnsi="Calibri" w:cs="Calibri"/>
        </w:rPr>
        <w:t xml:space="preserve">ocean </w:t>
      </w:r>
      <w:r w:rsidRPr="00562ED5">
        <w:rPr>
          <w:rFonts w:ascii="Calibri" w:hAnsi="Calibri" w:cs="Calibri"/>
        </w:rPr>
        <w:t>organic carbon would include the biocarbon in the marine realm</w:t>
      </w:r>
      <w:r w:rsidR="00CB5629">
        <w:rPr>
          <w:rFonts w:ascii="Calibri" w:hAnsi="Calibri" w:cs="Calibri"/>
        </w:rPr>
        <w:t xml:space="preserve"> following the IUCN Global Ecosystem </w:t>
      </w:r>
      <w:r w:rsidR="002F266A">
        <w:rPr>
          <w:rFonts w:ascii="Calibri" w:hAnsi="Calibri" w:cs="Calibri"/>
        </w:rPr>
        <w:t>Typology</w:t>
      </w:r>
      <w:r w:rsidRPr="00562ED5">
        <w:rPr>
          <w:rFonts w:ascii="Calibri" w:hAnsi="Calibri" w:cs="Calibri"/>
        </w:rPr>
        <w:t>.</w:t>
      </w:r>
      <w:r w:rsidR="002F266A">
        <w:rPr>
          <w:rFonts w:ascii="Calibri" w:hAnsi="Calibri" w:cs="Calibri"/>
        </w:rPr>
        <w:t xml:space="preserve"> Carbon in the biosphere</w:t>
      </w:r>
      <w:r w:rsidR="00256511">
        <w:rPr>
          <w:rFonts w:ascii="Calibri" w:hAnsi="Calibri" w:cs="Calibri"/>
        </w:rPr>
        <w:t xml:space="preserve"> would include biocarbon in the terrestrial, freshwater and any transitional realms.</w:t>
      </w:r>
    </w:p>
    <w:p w14:paraId="4D9F28E4" w14:textId="77B39151" w:rsidR="00A90F5A" w:rsidRDefault="00A90F5A">
      <w:pPr>
        <w:pStyle w:val="ListParagraph"/>
        <w:numPr>
          <w:ilvl w:val="0"/>
          <w:numId w:val="28"/>
        </w:numPr>
        <w:spacing w:after="120"/>
        <w:ind w:left="1843" w:right="724"/>
        <w:jc w:val="both"/>
        <w:rPr>
          <w:rFonts w:asciiTheme="minorHAnsi" w:hAnsiTheme="minorHAnsi" w:cstheme="minorHAnsi"/>
          <w:lang w:val="en-GB"/>
        </w:rPr>
      </w:pPr>
      <w:r>
        <w:rPr>
          <w:rFonts w:asciiTheme="minorHAnsi" w:hAnsiTheme="minorHAnsi" w:cstheme="minorHAnsi"/>
          <w:lang w:val="en-GB"/>
        </w:rPr>
        <w:t xml:space="preserve">The measurement of carbon stocks for the biosphere, geosphere and the economy is considered possible from a statistical perspective building on a range of information and data that are generally available. At the same time, discussion </w:t>
      </w:r>
      <w:r w:rsidR="0024615A">
        <w:rPr>
          <w:rFonts w:asciiTheme="minorHAnsi" w:hAnsiTheme="minorHAnsi" w:cstheme="minorHAnsi"/>
          <w:lang w:val="en-GB"/>
        </w:rPr>
        <w:t xml:space="preserve">has highlighted </w:t>
      </w:r>
      <w:r w:rsidR="009F3C5F">
        <w:rPr>
          <w:rFonts w:asciiTheme="minorHAnsi" w:hAnsiTheme="minorHAnsi" w:cstheme="minorHAnsi"/>
          <w:lang w:val="en-GB"/>
        </w:rPr>
        <w:t xml:space="preserve">the challenge of determining </w:t>
      </w:r>
      <w:r>
        <w:rPr>
          <w:rFonts w:asciiTheme="minorHAnsi" w:hAnsiTheme="minorHAnsi" w:cstheme="minorHAnsi"/>
          <w:lang w:val="en-GB"/>
        </w:rPr>
        <w:t xml:space="preserve">the precise scope of carbon stocks that is </w:t>
      </w:r>
      <w:proofErr w:type="spellStart"/>
      <w:r>
        <w:rPr>
          <w:rFonts w:asciiTheme="minorHAnsi" w:hAnsiTheme="minorHAnsi" w:cstheme="minorHAnsi"/>
          <w:lang w:val="en-GB"/>
        </w:rPr>
        <w:t>measureable</w:t>
      </w:r>
      <w:proofErr w:type="spellEnd"/>
      <w:r>
        <w:rPr>
          <w:rFonts w:asciiTheme="minorHAnsi" w:hAnsiTheme="minorHAnsi" w:cstheme="minorHAnsi"/>
          <w:lang w:val="en-GB"/>
        </w:rPr>
        <w:t xml:space="preserve"> in practice</w:t>
      </w:r>
      <w:r w:rsidR="005C632C">
        <w:rPr>
          <w:rFonts w:asciiTheme="minorHAnsi" w:hAnsiTheme="minorHAnsi" w:cstheme="minorHAnsi"/>
          <w:lang w:val="en-GB"/>
        </w:rPr>
        <w:t xml:space="preserve"> (e.g. concerning the measurement scope for carbon in the geosphere</w:t>
      </w:r>
      <w:r w:rsidR="00480234">
        <w:rPr>
          <w:rFonts w:asciiTheme="minorHAnsi" w:hAnsiTheme="minorHAnsi" w:cstheme="minorHAnsi"/>
          <w:lang w:val="en-GB"/>
        </w:rPr>
        <w:t xml:space="preserve"> (such as limestone</w:t>
      </w:r>
      <w:r w:rsidR="00FA557B">
        <w:rPr>
          <w:rFonts w:asciiTheme="minorHAnsi" w:hAnsiTheme="minorHAnsi" w:cstheme="minorHAnsi"/>
          <w:lang w:val="en-GB"/>
        </w:rPr>
        <w:t>, or the depth to which measurement should be conducted</w:t>
      </w:r>
      <w:r w:rsidR="00480234">
        <w:rPr>
          <w:rFonts w:asciiTheme="minorHAnsi" w:hAnsiTheme="minorHAnsi" w:cstheme="minorHAnsi"/>
          <w:lang w:val="en-GB"/>
        </w:rPr>
        <w:t>);</w:t>
      </w:r>
      <w:r w:rsidR="00BD6907">
        <w:rPr>
          <w:rFonts w:asciiTheme="minorHAnsi" w:hAnsiTheme="minorHAnsi" w:cstheme="minorHAnsi"/>
          <w:lang w:val="en-GB"/>
        </w:rPr>
        <w:t xml:space="preserve"> </w:t>
      </w:r>
      <w:r w:rsidR="00FA557B">
        <w:rPr>
          <w:rFonts w:asciiTheme="minorHAnsi" w:hAnsiTheme="minorHAnsi" w:cstheme="minorHAnsi"/>
          <w:lang w:val="en-GB"/>
        </w:rPr>
        <w:t xml:space="preserve">and </w:t>
      </w:r>
      <w:r w:rsidR="00BD6907">
        <w:rPr>
          <w:rFonts w:asciiTheme="minorHAnsi" w:hAnsiTheme="minorHAnsi" w:cstheme="minorHAnsi"/>
          <w:lang w:val="en-GB"/>
        </w:rPr>
        <w:t>the treatment of carbon in peatlands as being in the geosphere or biosphere</w:t>
      </w:r>
      <w:r w:rsidR="005C632C">
        <w:rPr>
          <w:rFonts w:asciiTheme="minorHAnsi" w:hAnsiTheme="minorHAnsi" w:cstheme="minorHAnsi"/>
          <w:lang w:val="en-GB"/>
        </w:rPr>
        <w:t>)</w:t>
      </w:r>
      <w:r>
        <w:rPr>
          <w:rFonts w:asciiTheme="minorHAnsi" w:hAnsiTheme="minorHAnsi" w:cstheme="minorHAnsi"/>
          <w:lang w:val="en-GB"/>
        </w:rPr>
        <w:t xml:space="preserve"> and whether, for some reservoirs, the changes in stocks are considered sufficiently meaningful given expected uncertainties in measurement.</w:t>
      </w:r>
      <w:r w:rsidR="001B062A">
        <w:rPr>
          <w:rFonts w:asciiTheme="minorHAnsi" w:hAnsiTheme="minorHAnsi" w:cstheme="minorHAnsi"/>
          <w:lang w:val="en-GB"/>
        </w:rPr>
        <w:t xml:space="preserve"> </w:t>
      </w:r>
      <w:r w:rsidR="00396C29">
        <w:rPr>
          <w:rFonts w:asciiTheme="minorHAnsi" w:hAnsiTheme="minorHAnsi" w:cstheme="minorHAnsi"/>
          <w:lang w:val="en-GB"/>
        </w:rPr>
        <w:t xml:space="preserve">It is proposed to provide additional guidance on the </w:t>
      </w:r>
      <w:r w:rsidR="009905B2">
        <w:rPr>
          <w:rFonts w:asciiTheme="minorHAnsi" w:hAnsiTheme="minorHAnsi" w:cstheme="minorHAnsi"/>
          <w:lang w:val="en-GB"/>
        </w:rPr>
        <w:t>measurement boundaries for stocks in these three reservoirs.</w:t>
      </w:r>
    </w:p>
    <w:p w14:paraId="1F17C301" w14:textId="11F6367B" w:rsidR="00A824D6" w:rsidRDefault="00FA557B">
      <w:pPr>
        <w:pStyle w:val="ListParagraph"/>
        <w:numPr>
          <w:ilvl w:val="0"/>
          <w:numId w:val="28"/>
        </w:numPr>
        <w:spacing w:after="120"/>
        <w:ind w:left="1843" w:right="724"/>
        <w:jc w:val="both"/>
        <w:rPr>
          <w:rFonts w:asciiTheme="minorHAnsi" w:hAnsiTheme="minorHAnsi" w:cstheme="minorHAnsi"/>
          <w:lang w:val="en-GB"/>
        </w:rPr>
      </w:pPr>
      <w:r>
        <w:rPr>
          <w:rFonts w:asciiTheme="minorHAnsi" w:hAnsiTheme="minorHAnsi" w:cstheme="minorHAnsi"/>
          <w:lang w:val="en-GB"/>
        </w:rPr>
        <w:t xml:space="preserve">The measurement of </w:t>
      </w:r>
      <w:r w:rsidR="00F0059D">
        <w:rPr>
          <w:rFonts w:asciiTheme="minorHAnsi" w:hAnsiTheme="minorHAnsi" w:cstheme="minorHAnsi"/>
          <w:lang w:val="en-GB"/>
        </w:rPr>
        <w:t>carbon stocks in the ocean</w:t>
      </w:r>
      <w:r w:rsidR="00070D33">
        <w:rPr>
          <w:rFonts w:asciiTheme="minorHAnsi" w:hAnsiTheme="minorHAnsi" w:cstheme="minorHAnsi"/>
          <w:lang w:val="en-GB"/>
        </w:rPr>
        <w:t xml:space="preserve"> </w:t>
      </w:r>
      <w:r>
        <w:rPr>
          <w:rFonts w:asciiTheme="minorHAnsi" w:hAnsiTheme="minorHAnsi" w:cstheme="minorHAnsi"/>
          <w:lang w:val="en-GB"/>
        </w:rPr>
        <w:t>comprises organic and inorganic carbon as well as carbonate particulates such as shells. Clarification is needed as to whether these three primary carbon forms are all included in oceans or whether organic carbon (</w:t>
      </w:r>
      <w:r w:rsidR="00A824D6">
        <w:rPr>
          <w:rFonts w:asciiTheme="minorHAnsi" w:hAnsiTheme="minorHAnsi" w:cstheme="minorHAnsi"/>
          <w:lang w:val="en-GB"/>
        </w:rPr>
        <w:t xml:space="preserve">whose measurement is considered </w:t>
      </w:r>
      <w:r w:rsidR="00806926">
        <w:rPr>
          <w:rFonts w:asciiTheme="minorHAnsi" w:hAnsiTheme="minorHAnsi" w:cstheme="minorHAnsi"/>
          <w:lang w:val="en-GB"/>
        </w:rPr>
        <w:t xml:space="preserve">more </w:t>
      </w:r>
      <w:r w:rsidR="00F87751">
        <w:rPr>
          <w:rFonts w:asciiTheme="minorHAnsi" w:hAnsiTheme="minorHAnsi" w:cstheme="minorHAnsi"/>
          <w:lang w:val="en-GB"/>
        </w:rPr>
        <w:t xml:space="preserve">feasible </w:t>
      </w:r>
      <w:r w:rsidR="0059411D">
        <w:rPr>
          <w:rFonts w:asciiTheme="minorHAnsi" w:hAnsiTheme="minorHAnsi" w:cstheme="minorHAnsi"/>
          <w:lang w:val="en-GB"/>
        </w:rPr>
        <w:t>(e.g. sea grass)</w:t>
      </w:r>
      <w:r>
        <w:rPr>
          <w:rFonts w:asciiTheme="minorHAnsi" w:hAnsiTheme="minorHAnsi" w:cstheme="minorHAnsi"/>
          <w:lang w:val="en-GB"/>
        </w:rPr>
        <w:t xml:space="preserve">) should be included in the biosphere and carbonate particulates included in </w:t>
      </w:r>
      <w:proofErr w:type="spellStart"/>
      <w:r>
        <w:rPr>
          <w:rFonts w:asciiTheme="minorHAnsi" w:hAnsiTheme="minorHAnsi" w:cstheme="minorHAnsi"/>
          <w:lang w:val="en-GB"/>
        </w:rPr>
        <w:t>geocarbon</w:t>
      </w:r>
      <w:proofErr w:type="spellEnd"/>
      <w:r>
        <w:rPr>
          <w:rFonts w:asciiTheme="minorHAnsi" w:hAnsiTheme="minorHAnsi" w:cstheme="minorHAnsi"/>
          <w:lang w:val="en-GB"/>
        </w:rPr>
        <w:t>. The “split”</w:t>
      </w:r>
      <w:r w:rsidR="00712BB5">
        <w:rPr>
          <w:rFonts w:asciiTheme="minorHAnsi" w:hAnsiTheme="minorHAnsi" w:cstheme="minorHAnsi"/>
          <w:lang w:val="en-GB"/>
        </w:rPr>
        <w:t xml:space="preserve"> </w:t>
      </w:r>
      <w:r>
        <w:rPr>
          <w:rFonts w:asciiTheme="minorHAnsi" w:hAnsiTheme="minorHAnsi" w:cstheme="minorHAnsi"/>
          <w:lang w:val="en-GB"/>
        </w:rPr>
        <w:t xml:space="preserve">treatment was applied in the </w:t>
      </w:r>
      <w:r>
        <w:rPr>
          <w:rFonts w:asciiTheme="minorHAnsi" w:hAnsiTheme="minorHAnsi" w:cstheme="minorHAnsi"/>
          <w:lang w:val="en-GB"/>
        </w:rPr>
        <w:lastRenderedPageBreak/>
        <w:t xml:space="preserve">SEEA EA (A13.19). </w:t>
      </w:r>
      <w:r w:rsidR="001977E7">
        <w:rPr>
          <w:rFonts w:asciiTheme="minorHAnsi" w:hAnsiTheme="minorHAnsi" w:cstheme="minorHAnsi"/>
          <w:lang w:val="en-GB"/>
        </w:rPr>
        <w:t xml:space="preserve">However, </w:t>
      </w:r>
      <w:r>
        <w:rPr>
          <w:rFonts w:asciiTheme="minorHAnsi" w:hAnsiTheme="minorHAnsi" w:cstheme="minorHAnsi"/>
          <w:lang w:val="en-GB"/>
        </w:rPr>
        <w:t xml:space="preserve">a combined treatment might better support cases where there is a transition within the oceans, </w:t>
      </w:r>
      <w:r w:rsidR="00806926">
        <w:rPr>
          <w:rFonts w:asciiTheme="minorHAnsi" w:hAnsiTheme="minorHAnsi" w:cstheme="minorHAnsi"/>
          <w:lang w:val="en-GB"/>
        </w:rPr>
        <w:t xml:space="preserve">for example with respect to </w:t>
      </w:r>
      <w:r w:rsidR="001158FD">
        <w:rPr>
          <w:rFonts w:asciiTheme="minorHAnsi" w:hAnsiTheme="minorHAnsi" w:cstheme="minorHAnsi"/>
          <w:lang w:val="en-GB"/>
        </w:rPr>
        <w:t>skeletons of krill</w:t>
      </w:r>
      <w:r>
        <w:rPr>
          <w:rFonts w:asciiTheme="minorHAnsi" w:hAnsiTheme="minorHAnsi" w:cstheme="minorHAnsi"/>
          <w:lang w:val="en-GB"/>
        </w:rPr>
        <w:t>.</w:t>
      </w:r>
      <w:r w:rsidR="008A2DB1">
        <w:rPr>
          <w:rFonts w:asciiTheme="minorHAnsi" w:hAnsiTheme="minorHAnsi" w:cstheme="minorHAnsi"/>
          <w:lang w:val="en-GB"/>
        </w:rPr>
        <w:t xml:space="preserve"> </w:t>
      </w:r>
      <w:r w:rsidR="0007107F">
        <w:rPr>
          <w:rFonts w:asciiTheme="minorHAnsi" w:hAnsiTheme="minorHAnsi" w:cstheme="minorHAnsi"/>
          <w:lang w:val="en-GB"/>
        </w:rPr>
        <w:t>The treatment of e</w:t>
      </w:r>
      <w:r w:rsidR="00C35E16">
        <w:rPr>
          <w:rFonts w:asciiTheme="minorHAnsi" w:hAnsiTheme="minorHAnsi" w:cstheme="minorHAnsi"/>
          <w:lang w:val="en-GB"/>
        </w:rPr>
        <w:t>xchanges of CO2 between the ocean and the atmosphere</w:t>
      </w:r>
      <w:r w:rsidR="0007107F">
        <w:rPr>
          <w:rFonts w:asciiTheme="minorHAnsi" w:hAnsiTheme="minorHAnsi" w:cstheme="minorHAnsi"/>
          <w:lang w:val="en-GB"/>
        </w:rPr>
        <w:t xml:space="preserve"> also needs to be clarified.</w:t>
      </w:r>
    </w:p>
    <w:p w14:paraId="20D3FFF8" w14:textId="0A606620" w:rsidR="00B52A2C" w:rsidRPr="003C1B91" w:rsidRDefault="004C152A">
      <w:pPr>
        <w:pStyle w:val="ListParagraph"/>
        <w:numPr>
          <w:ilvl w:val="0"/>
          <w:numId w:val="28"/>
        </w:numPr>
        <w:spacing w:after="120"/>
        <w:ind w:left="1843" w:right="724"/>
        <w:jc w:val="both"/>
        <w:rPr>
          <w:rFonts w:asciiTheme="minorHAnsi" w:hAnsiTheme="minorHAnsi" w:cstheme="minorHAnsi"/>
          <w:lang w:val="en-GB"/>
        </w:rPr>
      </w:pPr>
      <w:r>
        <w:rPr>
          <w:rFonts w:asciiTheme="minorHAnsi" w:hAnsiTheme="minorHAnsi" w:cstheme="minorHAnsi"/>
          <w:lang w:val="en-GB"/>
        </w:rPr>
        <w:t>The measurement of carbon stocks in the atmosphere is considered more challenging</w:t>
      </w:r>
      <w:r w:rsidR="00820617">
        <w:rPr>
          <w:rFonts w:asciiTheme="minorHAnsi" w:hAnsiTheme="minorHAnsi" w:cstheme="minorHAnsi"/>
          <w:lang w:val="en-GB"/>
        </w:rPr>
        <w:t>,</w:t>
      </w:r>
      <w:r>
        <w:rPr>
          <w:rFonts w:asciiTheme="minorHAnsi" w:hAnsiTheme="minorHAnsi" w:cstheme="minorHAnsi"/>
          <w:lang w:val="en-GB"/>
        </w:rPr>
        <w:t xml:space="preserve"> particularly in terms of allocation to countries.</w:t>
      </w:r>
      <w:r w:rsidR="005C632C">
        <w:rPr>
          <w:rFonts w:asciiTheme="minorHAnsi" w:hAnsiTheme="minorHAnsi" w:cstheme="minorHAnsi"/>
          <w:lang w:val="en-GB"/>
        </w:rPr>
        <w:t xml:space="preserve"> A</w:t>
      </w:r>
      <w:r>
        <w:rPr>
          <w:rFonts w:asciiTheme="minorHAnsi" w:hAnsiTheme="minorHAnsi" w:cstheme="minorHAnsi"/>
          <w:lang w:val="en-GB"/>
        </w:rPr>
        <w:t xml:space="preserve">pproaches to </w:t>
      </w:r>
      <w:r w:rsidR="005C632C">
        <w:rPr>
          <w:rFonts w:asciiTheme="minorHAnsi" w:hAnsiTheme="minorHAnsi" w:cstheme="minorHAnsi"/>
          <w:lang w:val="en-GB"/>
        </w:rPr>
        <w:t xml:space="preserve">allocation of stocks to countries </w:t>
      </w:r>
      <w:r w:rsidR="00D62CC4">
        <w:rPr>
          <w:rFonts w:asciiTheme="minorHAnsi" w:hAnsiTheme="minorHAnsi" w:cstheme="minorHAnsi"/>
          <w:lang w:val="en-GB"/>
        </w:rPr>
        <w:t xml:space="preserve">have been developed </w:t>
      </w:r>
      <w:r w:rsidR="00731C93">
        <w:rPr>
          <w:rFonts w:asciiTheme="minorHAnsi" w:hAnsiTheme="minorHAnsi" w:cstheme="minorHAnsi"/>
          <w:lang w:val="en-GB"/>
        </w:rPr>
        <w:t>using a</w:t>
      </w:r>
      <w:r w:rsidR="00D62CC4">
        <w:rPr>
          <w:rFonts w:asciiTheme="minorHAnsi" w:hAnsiTheme="minorHAnsi" w:cstheme="minorHAnsi"/>
          <w:lang w:val="en-GB"/>
        </w:rPr>
        <w:t>n aggregation of past emissions</w:t>
      </w:r>
      <w:r w:rsidR="00860E84">
        <w:rPr>
          <w:rFonts w:asciiTheme="minorHAnsi" w:hAnsiTheme="minorHAnsi" w:cstheme="minorHAnsi"/>
          <w:lang w:val="en-GB"/>
        </w:rPr>
        <w:t xml:space="preserve"> (see Statistics Netherlands, 2017)</w:t>
      </w:r>
      <w:r w:rsidR="005C632C">
        <w:rPr>
          <w:rFonts w:asciiTheme="minorHAnsi" w:hAnsiTheme="minorHAnsi" w:cstheme="minorHAnsi"/>
          <w:lang w:val="en-GB"/>
        </w:rPr>
        <w:t xml:space="preserve"> and assessing damages suffered due to climate change.</w:t>
      </w:r>
      <w:r w:rsidR="004A6B06">
        <w:rPr>
          <w:rFonts w:asciiTheme="minorHAnsi" w:hAnsiTheme="minorHAnsi" w:cstheme="minorHAnsi"/>
          <w:lang w:val="en-GB"/>
        </w:rPr>
        <w:t xml:space="preserve"> </w:t>
      </w:r>
      <w:r w:rsidR="005C632C">
        <w:rPr>
          <w:rFonts w:asciiTheme="minorHAnsi" w:hAnsiTheme="minorHAnsi" w:cstheme="minorHAnsi"/>
          <w:lang w:val="en-GB"/>
        </w:rPr>
        <w:t>T</w:t>
      </w:r>
      <w:r w:rsidR="004A6B06">
        <w:rPr>
          <w:rFonts w:asciiTheme="minorHAnsi" w:hAnsiTheme="minorHAnsi" w:cstheme="minorHAnsi"/>
          <w:lang w:val="en-GB"/>
        </w:rPr>
        <w:t>he</w:t>
      </w:r>
      <w:r w:rsidR="005C632C">
        <w:rPr>
          <w:rFonts w:asciiTheme="minorHAnsi" w:hAnsiTheme="minorHAnsi" w:cstheme="minorHAnsi"/>
          <w:lang w:val="en-GB"/>
        </w:rPr>
        <w:t xml:space="preserve"> rationale and feasibility of implementing these</w:t>
      </w:r>
      <w:r w:rsidR="004A6B06">
        <w:rPr>
          <w:rFonts w:asciiTheme="minorHAnsi" w:hAnsiTheme="minorHAnsi" w:cstheme="minorHAnsi"/>
          <w:lang w:val="en-GB"/>
        </w:rPr>
        <w:t xml:space="preserve"> approaches should be examined for potential application in a SEEA context. </w:t>
      </w:r>
      <w:r w:rsidR="0083496F">
        <w:rPr>
          <w:rFonts w:asciiTheme="minorHAnsi" w:hAnsiTheme="minorHAnsi" w:cstheme="minorHAnsi"/>
          <w:lang w:val="en-GB"/>
        </w:rPr>
        <w:t xml:space="preserve">This is of high relevance since it is the increase in the </w:t>
      </w:r>
      <w:r w:rsidR="00D052FC">
        <w:rPr>
          <w:rFonts w:asciiTheme="minorHAnsi" w:hAnsiTheme="minorHAnsi" w:cstheme="minorHAnsi"/>
          <w:lang w:val="en-GB"/>
        </w:rPr>
        <w:t>concentration of</w:t>
      </w:r>
      <w:r w:rsidR="0083496F">
        <w:rPr>
          <w:rFonts w:asciiTheme="minorHAnsi" w:hAnsiTheme="minorHAnsi" w:cstheme="minorHAnsi"/>
          <w:lang w:val="en-GB"/>
        </w:rPr>
        <w:t xml:space="preserve"> carbon in the atmosphere that is at the heart of </w:t>
      </w:r>
      <w:r w:rsidR="00D052FC">
        <w:rPr>
          <w:rFonts w:asciiTheme="minorHAnsi" w:hAnsiTheme="minorHAnsi" w:cstheme="minorHAnsi"/>
          <w:lang w:val="en-GB"/>
        </w:rPr>
        <w:t xml:space="preserve">the </w:t>
      </w:r>
      <w:r w:rsidR="0083496F">
        <w:rPr>
          <w:rFonts w:asciiTheme="minorHAnsi" w:hAnsiTheme="minorHAnsi" w:cstheme="minorHAnsi"/>
          <w:lang w:val="en-GB"/>
        </w:rPr>
        <w:t>climate change</w:t>
      </w:r>
      <w:r w:rsidR="00D052FC">
        <w:rPr>
          <w:rFonts w:asciiTheme="minorHAnsi" w:hAnsiTheme="minorHAnsi" w:cstheme="minorHAnsi"/>
          <w:lang w:val="en-GB"/>
        </w:rPr>
        <w:t xml:space="preserve"> discussion</w:t>
      </w:r>
      <w:r w:rsidR="00EE310C">
        <w:rPr>
          <w:rFonts w:asciiTheme="minorHAnsi" w:hAnsiTheme="minorHAnsi" w:cstheme="minorHAnsi"/>
          <w:lang w:val="en-GB"/>
        </w:rPr>
        <w:t>.</w:t>
      </w:r>
    </w:p>
    <w:p w14:paraId="26860AE0" w14:textId="70C7F3CA" w:rsidR="00C50259" w:rsidRPr="003C1B91" w:rsidRDefault="00FE0EBD" w:rsidP="00EB28E8">
      <w:pPr>
        <w:pStyle w:val="ListParagraph"/>
        <w:numPr>
          <w:ilvl w:val="1"/>
          <w:numId w:val="8"/>
        </w:numPr>
        <w:spacing w:after="120"/>
        <w:ind w:right="724"/>
        <w:jc w:val="both"/>
        <w:rPr>
          <w:rFonts w:asciiTheme="minorHAnsi" w:hAnsiTheme="minorHAnsi" w:cstheme="minorHAnsi"/>
          <w:lang w:val="en-GB"/>
        </w:rPr>
      </w:pPr>
      <w:r w:rsidRPr="003C1B91">
        <w:rPr>
          <w:rFonts w:asciiTheme="minorHAnsi" w:hAnsiTheme="minorHAnsi" w:cstheme="minorHAnsi"/>
          <w:lang w:val="en-GB"/>
        </w:rPr>
        <w:t>Can</w:t>
      </w:r>
      <w:r w:rsidR="00C50259" w:rsidRPr="003C1B91">
        <w:rPr>
          <w:rFonts w:asciiTheme="minorHAnsi" w:hAnsiTheme="minorHAnsi" w:cstheme="minorHAnsi"/>
          <w:lang w:val="en-GB"/>
        </w:rPr>
        <w:t xml:space="preserve"> the boundaries between the different carbon reservoirs</w:t>
      </w:r>
      <w:r w:rsidR="00F343DD" w:rsidRPr="003C1B91">
        <w:rPr>
          <w:rFonts w:asciiTheme="minorHAnsi" w:hAnsiTheme="minorHAnsi" w:cstheme="minorHAnsi"/>
          <w:lang w:val="en-GB"/>
        </w:rPr>
        <w:t xml:space="preserve"> be better delineated?</w:t>
      </w:r>
      <w:r w:rsidR="00C50259" w:rsidRPr="003C1B91">
        <w:rPr>
          <w:rFonts w:asciiTheme="minorHAnsi" w:hAnsiTheme="minorHAnsi" w:cstheme="minorHAnsi"/>
          <w:lang w:val="en-GB"/>
        </w:rPr>
        <w:t xml:space="preserve"> (building on content in SEEA EA Annex 13.2)</w:t>
      </w:r>
    </w:p>
    <w:p w14:paraId="24A24062" w14:textId="1A8D38DF" w:rsidR="00F343DD" w:rsidRDefault="00F343DD">
      <w:pPr>
        <w:pStyle w:val="ListParagraph"/>
        <w:numPr>
          <w:ilvl w:val="0"/>
          <w:numId w:val="28"/>
        </w:numPr>
        <w:spacing w:after="120"/>
        <w:ind w:left="1843" w:right="724"/>
        <w:jc w:val="both"/>
        <w:rPr>
          <w:rFonts w:asciiTheme="minorHAnsi" w:hAnsiTheme="minorHAnsi" w:cstheme="minorHAnsi"/>
          <w:lang w:val="en-GB"/>
        </w:rPr>
      </w:pPr>
      <w:r w:rsidRPr="003C1B91">
        <w:rPr>
          <w:rFonts w:asciiTheme="minorHAnsi" w:hAnsiTheme="minorHAnsi" w:cstheme="minorHAnsi"/>
          <w:lang w:val="en-GB"/>
        </w:rPr>
        <w:t xml:space="preserve">SEEA EA Annex 13.2 provides a good starting </w:t>
      </w:r>
      <w:proofErr w:type="gramStart"/>
      <w:r w:rsidRPr="003C1B91">
        <w:rPr>
          <w:rFonts w:asciiTheme="minorHAnsi" w:hAnsiTheme="minorHAnsi" w:cstheme="minorHAnsi"/>
          <w:lang w:val="en-GB"/>
        </w:rPr>
        <w:t>point</w:t>
      </w:r>
      <w:proofErr w:type="gramEnd"/>
      <w:r w:rsidRPr="003C1B91">
        <w:rPr>
          <w:rFonts w:asciiTheme="minorHAnsi" w:hAnsiTheme="minorHAnsi" w:cstheme="minorHAnsi"/>
          <w:lang w:val="en-GB"/>
        </w:rPr>
        <w:t xml:space="preserve"> but further detail is needed on </w:t>
      </w:r>
      <w:r w:rsidR="00B56FAE">
        <w:rPr>
          <w:rFonts w:asciiTheme="minorHAnsi" w:hAnsiTheme="minorHAnsi" w:cstheme="minorHAnsi"/>
          <w:lang w:val="en-GB"/>
        </w:rPr>
        <w:t xml:space="preserve">describing the </w:t>
      </w:r>
      <w:r w:rsidRPr="003C1B91">
        <w:rPr>
          <w:rFonts w:asciiTheme="minorHAnsi" w:hAnsiTheme="minorHAnsi" w:cstheme="minorHAnsi"/>
          <w:lang w:val="en-GB"/>
        </w:rPr>
        <w:t>scope of carbon in the economy</w:t>
      </w:r>
      <w:r w:rsidR="003C1328">
        <w:rPr>
          <w:rFonts w:asciiTheme="minorHAnsi" w:hAnsiTheme="minorHAnsi" w:cstheme="minorHAnsi"/>
          <w:lang w:val="en-GB"/>
        </w:rPr>
        <w:t xml:space="preserve"> and carbon in the biosphere</w:t>
      </w:r>
      <w:r w:rsidR="00C721A6" w:rsidRPr="003C1B91">
        <w:rPr>
          <w:rFonts w:asciiTheme="minorHAnsi" w:hAnsiTheme="minorHAnsi" w:cstheme="minorHAnsi"/>
          <w:lang w:val="en-GB"/>
        </w:rPr>
        <w:t>,</w:t>
      </w:r>
      <w:r w:rsidRPr="003C1B91">
        <w:rPr>
          <w:rFonts w:asciiTheme="minorHAnsi" w:hAnsiTheme="minorHAnsi" w:cstheme="minorHAnsi"/>
          <w:lang w:val="en-GB"/>
        </w:rPr>
        <w:t xml:space="preserve"> </w:t>
      </w:r>
      <w:proofErr w:type="gramStart"/>
      <w:r w:rsidRPr="003C1B91">
        <w:rPr>
          <w:rFonts w:asciiTheme="minorHAnsi" w:hAnsiTheme="minorHAnsi" w:cstheme="minorHAnsi"/>
          <w:lang w:val="en-GB"/>
        </w:rPr>
        <w:t>in particular</w:t>
      </w:r>
      <w:r w:rsidR="00C721A6" w:rsidRPr="003C1B91">
        <w:rPr>
          <w:rFonts w:asciiTheme="minorHAnsi" w:hAnsiTheme="minorHAnsi" w:cstheme="minorHAnsi"/>
          <w:lang w:val="en-GB"/>
        </w:rPr>
        <w:t xml:space="preserve"> concerning</w:t>
      </w:r>
      <w:proofErr w:type="gramEnd"/>
      <w:r w:rsidR="00C721A6" w:rsidRPr="003C1B91">
        <w:rPr>
          <w:rFonts w:asciiTheme="minorHAnsi" w:hAnsiTheme="minorHAnsi" w:cstheme="minorHAnsi"/>
          <w:lang w:val="en-GB"/>
        </w:rPr>
        <w:t xml:space="preserve"> the boundary for cultivated biological resources</w:t>
      </w:r>
      <w:r w:rsidR="00706E7A">
        <w:rPr>
          <w:rFonts w:asciiTheme="minorHAnsi" w:hAnsiTheme="minorHAnsi" w:cstheme="minorHAnsi"/>
          <w:lang w:val="en-GB"/>
        </w:rPr>
        <w:t xml:space="preserve"> (e.g. plantation timber)</w:t>
      </w:r>
      <w:r w:rsidR="00C721A6" w:rsidRPr="003C1B91">
        <w:rPr>
          <w:rFonts w:asciiTheme="minorHAnsi" w:hAnsiTheme="minorHAnsi" w:cstheme="minorHAnsi"/>
          <w:lang w:val="en-GB"/>
        </w:rPr>
        <w:t xml:space="preserve"> and in relation to soil resources</w:t>
      </w:r>
      <w:r w:rsidR="002E2E97" w:rsidRPr="003C1B91">
        <w:rPr>
          <w:rFonts w:asciiTheme="minorHAnsi" w:hAnsiTheme="minorHAnsi" w:cstheme="minorHAnsi"/>
          <w:lang w:val="en-GB"/>
        </w:rPr>
        <w:t>.</w:t>
      </w:r>
      <w:r w:rsidR="00706E7A">
        <w:rPr>
          <w:rFonts w:asciiTheme="minorHAnsi" w:hAnsiTheme="minorHAnsi" w:cstheme="minorHAnsi"/>
          <w:lang w:val="en-GB"/>
        </w:rPr>
        <w:t xml:space="preserve"> </w:t>
      </w:r>
    </w:p>
    <w:p w14:paraId="03853AF9" w14:textId="3AE4CD82" w:rsidR="00B56FAE" w:rsidRDefault="00B56FAE">
      <w:pPr>
        <w:pStyle w:val="ListParagraph"/>
        <w:numPr>
          <w:ilvl w:val="0"/>
          <w:numId w:val="28"/>
        </w:numPr>
        <w:spacing w:after="120"/>
        <w:ind w:left="1843" w:right="724"/>
        <w:jc w:val="both"/>
        <w:rPr>
          <w:rFonts w:asciiTheme="minorHAnsi" w:hAnsiTheme="minorHAnsi" w:cstheme="minorHAnsi"/>
          <w:lang w:val="en-GB"/>
        </w:rPr>
      </w:pPr>
      <w:r>
        <w:rPr>
          <w:rFonts w:asciiTheme="minorHAnsi" w:hAnsiTheme="minorHAnsi" w:cstheme="minorHAnsi"/>
          <w:lang w:val="en-GB"/>
        </w:rPr>
        <w:t xml:space="preserve">The initial proposal is for </w:t>
      </w:r>
      <w:r w:rsidR="00AF7E1C">
        <w:rPr>
          <w:rFonts w:asciiTheme="minorHAnsi" w:hAnsiTheme="minorHAnsi" w:cstheme="minorHAnsi"/>
          <w:lang w:val="en-GB"/>
        </w:rPr>
        <w:t xml:space="preserve">carbon in </w:t>
      </w:r>
      <w:r w:rsidR="00CB27E6">
        <w:rPr>
          <w:rFonts w:asciiTheme="minorHAnsi" w:hAnsiTheme="minorHAnsi" w:cstheme="minorHAnsi"/>
          <w:lang w:val="en-GB"/>
        </w:rPr>
        <w:t xml:space="preserve">the economy to be defined in relation to the </w:t>
      </w:r>
      <w:r w:rsidR="00D31FE1">
        <w:rPr>
          <w:rFonts w:asciiTheme="minorHAnsi" w:hAnsiTheme="minorHAnsi" w:cstheme="minorHAnsi"/>
          <w:lang w:val="en-GB"/>
        </w:rPr>
        <w:t>production boundary of the SNA such that all carbon stored in cultivated biological resources is considered within the economy</w:t>
      </w:r>
      <w:r w:rsidR="00ED4F1A">
        <w:rPr>
          <w:rFonts w:asciiTheme="minorHAnsi" w:hAnsiTheme="minorHAnsi" w:cstheme="minorHAnsi"/>
          <w:lang w:val="en-GB"/>
        </w:rPr>
        <w:t xml:space="preserve"> and all carbon stored in non-</w:t>
      </w:r>
      <w:r w:rsidR="009A0E32">
        <w:rPr>
          <w:rFonts w:asciiTheme="minorHAnsi" w:hAnsiTheme="minorHAnsi" w:cstheme="minorHAnsi"/>
          <w:lang w:val="en-GB"/>
        </w:rPr>
        <w:t xml:space="preserve">cultivated </w:t>
      </w:r>
      <w:r w:rsidR="00ED4F1A">
        <w:rPr>
          <w:rFonts w:asciiTheme="minorHAnsi" w:hAnsiTheme="minorHAnsi" w:cstheme="minorHAnsi"/>
          <w:lang w:val="en-GB"/>
        </w:rPr>
        <w:t xml:space="preserve">environmental assets (including soil and sub-soil mineral and energy resources) </w:t>
      </w:r>
      <w:r w:rsidR="00F752E7">
        <w:rPr>
          <w:rFonts w:asciiTheme="minorHAnsi" w:hAnsiTheme="minorHAnsi" w:cstheme="minorHAnsi"/>
          <w:lang w:val="en-GB"/>
        </w:rPr>
        <w:t xml:space="preserve">is considered to be in the biosphere or geosphere as appropriate. </w:t>
      </w:r>
    </w:p>
    <w:p w14:paraId="25DC5AB0" w14:textId="6196B97B" w:rsidR="004A2E61" w:rsidRDefault="00230273">
      <w:pPr>
        <w:pStyle w:val="ListParagraph"/>
        <w:numPr>
          <w:ilvl w:val="0"/>
          <w:numId w:val="28"/>
        </w:numPr>
        <w:spacing w:after="120"/>
        <w:ind w:left="1843" w:right="724"/>
        <w:jc w:val="both"/>
        <w:rPr>
          <w:rFonts w:asciiTheme="minorHAnsi" w:hAnsiTheme="minorHAnsi" w:cstheme="minorHAnsi"/>
          <w:lang w:val="en-GB"/>
        </w:rPr>
      </w:pPr>
      <w:r>
        <w:rPr>
          <w:rFonts w:asciiTheme="minorHAnsi" w:hAnsiTheme="minorHAnsi" w:cstheme="minorHAnsi"/>
          <w:lang w:val="en-GB"/>
        </w:rPr>
        <w:t xml:space="preserve">In cases where there has been extraction or harvest of </w:t>
      </w:r>
      <w:r w:rsidR="00B307A6">
        <w:rPr>
          <w:rFonts w:asciiTheme="minorHAnsi" w:hAnsiTheme="minorHAnsi" w:cstheme="minorHAnsi"/>
          <w:lang w:val="en-GB"/>
        </w:rPr>
        <w:t xml:space="preserve">non-cultivated </w:t>
      </w:r>
      <w:r>
        <w:rPr>
          <w:rFonts w:asciiTheme="minorHAnsi" w:hAnsiTheme="minorHAnsi" w:cstheme="minorHAnsi"/>
          <w:lang w:val="en-GB"/>
        </w:rPr>
        <w:t>environmental assets</w:t>
      </w:r>
      <w:r w:rsidR="009A0E32">
        <w:rPr>
          <w:rFonts w:asciiTheme="minorHAnsi" w:hAnsiTheme="minorHAnsi" w:cstheme="minorHAnsi"/>
          <w:lang w:val="en-GB"/>
        </w:rPr>
        <w:t xml:space="preserve"> (e.g. oil</w:t>
      </w:r>
      <w:r w:rsidR="00B307A6">
        <w:rPr>
          <w:rFonts w:asciiTheme="minorHAnsi" w:hAnsiTheme="minorHAnsi" w:cstheme="minorHAnsi"/>
          <w:lang w:val="en-GB"/>
        </w:rPr>
        <w:t>)</w:t>
      </w:r>
      <w:r>
        <w:rPr>
          <w:rFonts w:asciiTheme="minorHAnsi" w:hAnsiTheme="minorHAnsi" w:cstheme="minorHAnsi"/>
          <w:lang w:val="en-GB"/>
        </w:rPr>
        <w:t xml:space="preserve">, the carbon embodied in the </w:t>
      </w:r>
      <w:r w:rsidR="00674D4B">
        <w:rPr>
          <w:rFonts w:asciiTheme="minorHAnsi" w:hAnsiTheme="minorHAnsi" w:cstheme="minorHAnsi"/>
          <w:lang w:val="en-GB"/>
        </w:rPr>
        <w:t xml:space="preserve">products created </w:t>
      </w:r>
      <w:proofErr w:type="gramStart"/>
      <w:r w:rsidR="00674D4B">
        <w:rPr>
          <w:rFonts w:asciiTheme="minorHAnsi" w:hAnsiTheme="minorHAnsi" w:cstheme="minorHAnsi"/>
          <w:lang w:val="en-GB"/>
        </w:rPr>
        <w:t>as a result of</w:t>
      </w:r>
      <w:proofErr w:type="gramEnd"/>
      <w:r w:rsidR="00674D4B">
        <w:rPr>
          <w:rFonts w:asciiTheme="minorHAnsi" w:hAnsiTheme="minorHAnsi" w:cstheme="minorHAnsi"/>
          <w:lang w:val="en-GB"/>
        </w:rPr>
        <w:t xml:space="preserve"> this activity should be treated as carbon in the economy. </w:t>
      </w:r>
    </w:p>
    <w:p w14:paraId="506E7443" w14:textId="3A19AD84" w:rsidR="003C1E8D" w:rsidRDefault="003C1E8D">
      <w:pPr>
        <w:pStyle w:val="ListParagraph"/>
        <w:numPr>
          <w:ilvl w:val="0"/>
          <w:numId w:val="28"/>
        </w:numPr>
        <w:spacing w:after="120"/>
        <w:ind w:left="1843" w:right="724"/>
        <w:jc w:val="both"/>
        <w:rPr>
          <w:rFonts w:asciiTheme="minorHAnsi" w:hAnsiTheme="minorHAnsi" w:cstheme="minorHAnsi"/>
          <w:lang w:val="en-GB"/>
        </w:rPr>
      </w:pPr>
      <w:r>
        <w:rPr>
          <w:rFonts w:asciiTheme="minorHAnsi" w:hAnsiTheme="minorHAnsi" w:cstheme="minorHAnsi"/>
          <w:lang w:val="en-GB"/>
        </w:rPr>
        <w:t xml:space="preserve">Further discussion will be needed on the treatment of carbon stored </w:t>
      </w:r>
      <w:proofErr w:type="gramStart"/>
      <w:r>
        <w:rPr>
          <w:rFonts w:asciiTheme="minorHAnsi" w:hAnsiTheme="minorHAnsi" w:cstheme="minorHAnsi"/>
          <w:lang w:val="en-GB"/>
        </w:rPr>
        <w:t>as a result of</w:t>
      </w:r>
      <w:proofErr w:type="gramEnd"/>
      <w:r>
        <w:rPr>
          <w:rFonts w:asciiTheme="minorHAnsi" w:hAnsiTheme="minorHAnsi" w:cstheme="minorHAnsi"/>
          <w:lang w:val="en-GB"/>
        </w:rPr>
        <w:t xml:space="preserve"> carbon capture and storage</w:t>
      </w:r>
      <w:r w:rsidR="00A35BB3">
        <w:rPr>
          <w:rFonts w:asciiTheme="minorHAnsi" w:hAnsiTheme="minorHAnsi" w:cstheme="minorHAnsi"/>
          <w:lang w:val="en-GB"/>
        </w:rPr>
        <w:t xml:space="preserve"> where the location of the storage will likely be an important consideration</w:t>
      </w:r>
      <w:r w:rsidR="003E32F3">
        <w:rPr>
          <w:rFonts w:asciiTheme="minorHAnsi" w:hAnsiTheme="minorHAnsi" w:cstheme="minorHAnsi"/>
          <w:lang w:val="en-GB"/>
        </w:rPr>
        <w:t xml:space="preserve"> and should align with the related discussion under issue B3 on Carbon flows</w:t>
      </w:r>
    </w:p>
    <w:p w14:paraId="548860E6" w14:textId="4BE84B8B" w:rsidR="008F11DF" w:rsidRDefault="008F11DF">
      <w:pPr>
        <w:pStyle w:val="ListParagraph"/>
        <w:numPr>
          <w:ilvl w:val="0"/>
          <w:numId w:val="28"/>
        </w:numPr>
        <w:spacing w:after="120"/>
        <w:ind w:left="1843" w:right="724"/>
        <w:jc w:val="both"/>
        <w:rPr>
          <w:rFonts w:asciiTheme="minorHAnsi" w:hAnsiTheme="minorHAnsi" w:cstheme="minorHAnsi"/>
          <w:lang w:val="en-GB"/>
        </w:rPr>
      </w:pPr>
      <w:r>
        <w:rPr>
          <w:rFonts w:asciiTheme="minorHAnsi" w:hAnsiTheme="minorHAnsi" w:cstheme="minorHAnsi"/>
          <w:lang w:val="en-GB"/>
        </w:rPr>
        <w:t xml:space="preserve">The following section provides </w:t>
      </w:r>
      <w:r w:rsidR="003469ED">
        <w:rPr>
          <w:rFonts w:asciiTheme="minorHAnsi" w:hAnsiTheme="minorHAnsi" w:cstheme="minorHAnsi"/>
          <w:lang w:val="en-GB"/>
        </w:rPr>
        <w:t xml:space="preserve">some </w:t>
      </w:r>
      <w:r>
        <w:rPr>
          <w:rFonts w:asciiTheme="minorHAnsi" w:hAnsiTheme="minorHAnsi" w:cstheme="minorHAnsi"/>
          <w:lang w:val="en-GB"/>
        </w:rPr>
        <w:t>further discussion on the measurement of carbon in the economy.</w:t>
      </w:r>
      <w:r w:rsidR="00A35BB3">
        <w:rPr>
          <w:rFonts w:asciiTheme="minorHAnsi" w:hAnsiTheme="minorHAnsi" w:cstheme="minorHAnsi"/>
          <w:lang w:val="en-GB"/>
        </w:rPr>
        <w:t xml:space="preserve"> </w:t>
      </w:r>
    </w:p>
    <w:p w14:paraId="1CE1B6AD" w14:textId="36CB75D0" w:rsidR="00C50259" w:rsidRPr="003C1B91" w:rsidRDefault="002E2E97" w:rsidP="00C06051">
      <w:pPr>
        <w:pStyle w:val="ListParagraph"/>
        <w:numPr>
          <w:ilvl w:val="1"/>
          <w:numId w:val="8"/>
        </w:numPr>
        <w:spacing w:after="120"/>
        <w:ind w:right="724"/>
        <w:jc w:val="both"/>
        <w:rPr>
          <w:rFonts w:asciiTheme="minorHAnsi" w:hAnsiTheme="minorHAnsi" w:cstheme="minorHAnsi"/>
          <w:lang w:val="en-GB"/>
        </w:rPr>
      </w:pPr>
      <w:r w:rsidRPr="003C1B91">
        <w:rPr>
          <w:rFonts w:asciiTheme="minorHAnsi" w:hAnsiTheme="minorHAnsi" w:cstheme="minorHAnsi"/>
          <w:lang w:val="en-GB"/>
        </w:rPr>
        <w:t xml:space="preserve">What </w:t>
      </w:r>
      <w:r w:rsidR="00C50259" w:rsidRPr="003C1B91">
        <w:rPr>
          <w:rFonts w:asciiTheme="minorHAnsi" w:hAnsiTheme="minorHAnsi" w:cstheme="minorHAnsi"/>
          <w:lang w:val="en-GB"/>
        </w:rPr>
        <w:t xml:space="preserve">scope of carbon in the biosphere </w:t>
      </w:r>
      <w:r w:rsidR="00C06051" w:rsidRPr="003C1B91">
        <w:rPr>
          <w:rFonts w:asciiTheme="minorHAnsi" w:hAnsiTheme="minorHAnsi" w:cstheme="minorHAnsi"/>
          <w:lang w:val="en-GB"/>
        </w:rPr>
        <w:t xml:space="preserve">should </w:t>
      </w:r>
      <w:r w:rsidR="00C50259" w:rsidRPr="003C1B91">
        <w:rPr>
          <w:rFonts w:asciiTheme="minorHAnsi" w:hAnsiTheme="minorHAnsi" w:cstheme="minorHAnsi"/>
          <w:lang w:val="en-GB"/>
        </w:rPr>
        <w:t xml:space="preserve">be </w:t>
      </w:r>
      <w:r w:rsidR="00C06051" w:rsidRPr="003C1B91">
        <w:rPr>
          <w:rFonts w:asciiTheme="minorHAnsi" w:hAnsiTheme="minorHAnsi" w:cstheme="minorHAnsi"/>
          <w:lang w:val="en-GB"/>
        </w:rPr>
        <w:t>applied in practice</w:t>
      </w:r>
      <w:r w:rsidR="00C50259" w:rsidRPr="003C1B91">
        <w:rPr>
          <w:rFonts w:asciiTheme="minorHAnsi" w:hAnsiTheme="minorHAnsi" w:cstheme="minorHAnsi"/>
          <w:lang w:val="en-GB"/>
        </w:rPr>
        <w:t xml:space="preserve">, especially with respect to carbon stored in peatlands and </w:t>
      </w:r>
      <w:r w:rsidR="00961194">
        <w:rPr>
          <w:rFonts w:asciiTheme="minorHAnsi" w:hAnsiTheme="minorHAnsi" w:cstheme="minorHAnsi"/>
          <w:lang w:val="en-GB"/>
        </w:rPr>
        <w:t xml:space="preserve">related </w:t>
      </w:r>
      <w:r w:rsidR="00C50259" w:rsidRPr="003C1B91">
        <w:rPr>
          <w:rFonts w:asciiTheme="minorHAnsi" w:hAnsiTheme="minorHAnsi" w:cstheme="minorHAnsi"/>
          <w:lang w:val="en-GB"/>
        </w:rPr>
        <w:t>ecosystem types</w:t>
      </w:r>
      <w:r w:rsidR="00C06051" w:rsidRPr="003C1B91">
        <w:rPr>
          <w:rFonts w:asciiTheme="minorHAnsi" w:hAnsiTheme="minorHAnsi" w:cstheme="minorHAnsi"/>
          <w:lang w:val="en-GB"/>
        </w:rPr>
        <w:t>?</w:t>
      </w:r>
    </w:p>
    <w:p w14:paraId="56104B13" w14:textId="0F1A34E5" w:rsidR="00D147A8" w:rsidRPr="00226595" w:rsidRDefault="00180AE9">
      <w:pPr>
        <w:pStyle w:val="ListParagraph"/>
        <w:numPr>
          <w:ilvl w:val="0"/>
          <w:numId w:val="28"/>
        </w:numPr>
        <w:spacing w:after="120"/>
        <w:ind w:left="1843" w:right="724"/>
        <w:jc w:val="both"/>
        <w:rPr>
          <w:rFonts w:asciiTheme="minorHAnsi" w:hAnsiTheme="minorHAnsi" w:cstheme="minorHAnsi"/>
          <w:lang w:val="en-GB"/>
        </w:rPr>
      </w:pPr>
      <w:r w:rsidRPr="00C253D0">
        <w:rPr>
          <w:rFonts w:asciiTheme="minorHAnsi" w:hAnsiTheme="minorHAnsi" w:cstheme="minorHAnsi"/>
        </w:rPr>
        <w:t xml:space="preserve">The measurement boundary </w:t>
      </w:r>
      <w:r w:rsidR="006E353C">
        <w:rPr>
          <w:rFonts w:asciiTheme="minorHAnsi" w:hAnsiTheme="minorHAnsi" w:cstheme="minorHAnsi"/>
        </w:rPr>
        <w:t>should</w:t>
      </w:r>
      <w:r w:rsidRPr="00C253D0">
        <w:rPr>
          <w:rFonts w:asciiTheme="minorHAnsi" w:hAnsiTheme="minorHAnsi" w:cstheme="minorHAnsi"/>
        </w:rPr>
        <w:t xml:space="preserve"> include all ecosystems and land tenures</w:t>
      </w:r>
      <w:r w:rsidR="006E353C">
        <w:rPr>
          <w:rFonts w:asciiTheme="minorHAnsi" w:hAnsiTheme="minorHAnsi" w:cstheme="minorHAnsi"/>
        </w:rPr>
        <w:t xml:space="preserve"> within a country</w:t>
      </w:r>
      <w:r w:rsidRPr="00C253D0">
        <w:rPr>
          <w:rFonts w:asciiTheme="minorHAnsi" w:hAnsiTheme="minorHAnsi" w:cstheme="minorHAnsi"/>
        </w:rPr>
        <w:t xml:space="preserve">. </w:t>
      </w:r>
      <w:r w:rsidR="00EC0793" w:rsidRPr="00C253D0">
        <w:rPr>
          <w:rFonts w:asciiTheme="minorHAnsi" w:hAnsiTheme="minorHAnsi" w:cstheme="minorHAnsi"/>
        </w:rPr>
        <w:t>In which case, t</w:t>
      </w:r>
      <w:r w:rsidRPr="00C253D0">
        <w:rPr>
          <w:rFonts w:asciiTheme="minorHAnsi" w:hAnsiTheme="minorHAnsi" w:cstheme="minorHAnsi"/>
        </w:rPr>
        <w:t xml:space="preserve">he boundary should not </w:t>
      </w:r>
      <w:r w:rsidR="008A662F">
        <w:rPr>
          <w:rFonts w:asciiTheme="minorHAnsi" w:hAnsiTheme="minorHAnsi" w:cstheme="minorHAnsi"/>
        </w:rPr>
        <w:t xml:space="preserve">be limited by </w:t>
      </w:r>
      <w:r w:rsidR="00681335">
        <w:rPr>
          <w:rFonts w:asciiTheme="minorHAnsi" w:hAnsiTheme="minorHAnsi" w:cstheme="minorHAnsi"/>
        </w:rPr>
        <w:t>a focus on areas of</w:t>
      </w:r>
      <w:r w:rsidRPr="00C253D0">
        <w:rPr>
          <w:rFonts w:asciiTheme="minorHAnsi" w:hAnsiTheme="minorHAnsi" w:cstheme="minorHAnsi"/>
        </w:rPr>
        <w:t xml:space="preserve"> current human activities or </w:t>
      </w:r>
      <w:r w:rsidR="00681335">
        <w:rPr>
          <w:rFonts w:asciiTheme="minorHAnsi" w:hAnsiTheme="minorHAnsi" w:cstheme="minorHAnsi"/>
        </w:rPr>
        <w:t xml:space="preserve">on areas with </w:t>
      </w:r>
      <w:r w:rsidR="003E0A3C">
        <w:rPr>
          <w:rFonts w:asciiTheme="minorHAnsi" w:hAnsiTheme="minorHAnsi" w:cstheme="minorHAnsi"/>
        </w:rPr>
        <w:t xml:space="preserve">specific </w:t>
      </w:r>
      <w:r w:rsidR="00D147A8">
        <w:rPr>
          <w:rFonts w:asciiTheme="minorHAnsi" w:hAnsiTheme="minorHAnsi" w:cstheme="minorHAnsi"/>
        </w:rPr>
        <w:t xml:space="preserve">degrees of </w:t>
      </w:r>
      <w:r w:rsidRPr="00C253D0">
        <w:rPr>
          <w:rFonts w:asciiTheme="minorHAnsi" w:hAnsiTheme="minorHAnsi" w:cstheme="minorHAnsi"/>
        </w:rPr>
        <w:lastRenderedPageBreak/>
        <w:t>management.</w:t>
      </w:r>
      <w:r w:rsidR="00EC0793" w:rsidRPr="00C253D0">
        <w:rPr>
          <w:rFonts w:asciiTheme="minorHAnsi" w:hAnsiTheme="minorHAnsi" w:cstheme="minorHAnsi"/>
        </w:rPr>
        <w:t xml:space="preserve"> </w:t>
      </w:r>
      <w:r w:rsidR="003E0A3C">
        <w:rPr>
          <w:rFonts w:asciiTheme="minorHAnsi" w:hAnsiTheme="minorHAnsi" w:cstheme="minorHAnsi"/>
        </w:rPr>
        <w:t>A national scope</w:t>
      </w:r>
      <w:r w:rsidR="00FA557B">
        <w:rPr>
          <w:rFonts w:asciiTheme="minorHAnsi" w:hAnsiTheme="minorHAnsi" w:cstheme="minorHAnsi"/>
        </w:rPr>
        <w:t xml:space="preserve">, </w:t>
      </w:r>
      <w:proofErr w:type="gramStart"/>
      <w:r w:rsidR="00FA557B">
        <w:rPr>
          <w:rFonts w:asciiTheme="minorHAnsi" w:hAnsiTheme="minorHAnsi" w:cstheme="minorHAnsi"/>
        </w:rPr>
        <w:t>similar to</w:t>
      </w:r>
      <w:proofErr w:type="gramEnd"/>
      <w:r w:rsidR="00FA557B">
        <w:rPr>
          <w:rFonts w:asciiTheme="minorHAnsi" w:hAnsiTheme="minorHAnsi" w:cstheme="minorHAnsi"/>
        </w:rPr>
        <w:t xml:space="preserve"> the coverage of UNFCCC accounts</w:t>
      </w:r>
      <w:r w:rsidR="003E0A3C">
        <w:rPr>
          <w:rFonts w:asciiTheme="minorHAnsi" w:hAnsiTheme="minorHAnsi" w:cstheme="minorHAnsi"/>
        </w:rPr>
        <w:t xml:space="preserve"> provides the </w:t>
      </w:r>
      <w:r w:rsidR="006F5DEC">
        <w:rPr>
          <w:rFonts w:asciiTheme="minorHAnsi" w:hAnsiTheme="minorHAnsi" w:cstheme="minorHAnsi"/>
        </w:rPr>
        <w:t>starting point for an exhaustive measurement of the carbon stock.</w:t>
      </w:r>
    </w:p>
    <w:p w14:paraId="118E467E" w14:textId="6C8E40FA" w:rsidR="00C06051" w:rsidRPr="00FA557B" w:rsidRDefault="0060684E">
      <w:pPr>
        <w:pStyle w:val="ListParagraph"/>
        <w:numPr>
          <w:ilvl w:val="0"/>
          <w:numId w:val="28"/>
        </w:numPr>
        <w:spacing w:after="120"/>
        <w:ind w:left="1843" w:right="724"/>
        <w:jc w:val="both"/>
        <w:rPr>
          <w:rFonts w:asciiTheme="minorHAnsi" w:hAnsiTheme="minorHAnsi" w:cstheme="minorHAnsi"/>
          <w:lang w:val="en-GB"/>
        </w:rPr>
      </w:pPr>
      <w:r w:rsidRPr="00C253D0">
        <w:rPr>
          <w:rFonts w:asciiTheme="minorHAnsi" w:hAnsiTheme="minorHAnsi" w:cstheme="minorHAnsi"/>
        </w:rPr>
        <w:t xml:space="preserve">Establishing </w:t>
      </w:r>
      <w:r w:rsidR="00602A31" w:rsidRPr="00C253D0">
        <w:rPr>
          <w:rFonts w:asciiTheme="minorHAnsi" w:hAnsiTheme="minorHAnsi" w:cstheme="minorHAnsi"/>
        </w:rPr>
        <w:t xml:space="preserve">measurement </w:t>
      </w:r>
      <w:r w:rsidRPr="00C253D0">
        <w:rPr>
          <w:rFonts w:asciiTheme="minorHAnsi" w:hAnsiTheme="minorHAnsi" w:cstheme="minorHAnsi"/>
        </w:rPr>
        <w:t>b</w:t>
      </w:r>
      <w:r w:rsidR="00EC0793" w:rsidRPr="00C253D0">
        <w:rPr>
          <w:rFonts w:asciiTheme="minorHAnsi" w:hAnsiTheme="minorHAnsi" w:cstheme="minorHAnsi"/>
        </w:rPr>
        <w:t>oundaries</w:t>
      </w:r>
      <w:r w:rsidR="00D147A8">
        <w:rPr>
          <w:rFonts w:asciiTheme="minorHAnsi" w:hAnsiTheme="minorHAnsi" w:cstheme="minorHAnsi"/>
        </w:rPr>
        <w:t xml:space="preserve"> in terms of </w:t>
      </w:r>
      <w:r w:rsidR="00602A31" w:rsidRPr="00C253D0">
        <w:rPr>
          <w:rFonts w:asciiTheme="minorHAnsi" w:hAnsiTheme="minorHAnsi" w:cstheme="minorHAnsi"/>
        </w:rPr>
        <w:t>depth</w:t>
      </w:r>
      <w:r w:rsidR="00EC0793" w:rsidRPr="00C253D0">
        <w:rPr>
          <w:rFonts w:asciiTheme="minorHAnsi" w:hAnsiTheme="minorHAnsi" w:cstheme="minorHAnsi"/>
        </w:rPr>
        <w:t xml:space="preserve"> for peatlands and soil are a difficult compromise between comprehensiveness and practicality</w:t>
      </w:r>
      <w:r w:rsidRPr="00C253D0">
        <w:rPr>
          <w:rFonts w:asciiTheme="minorHAnsi" w:hAnsiTheme="minorHAnsi" w:cstheme="minorHAnsi"/>
        </w:rPr>
        <w:t xml:space="preserve"> but are important in terms of </w:t>
      </w:r>
      <w:r w:rsidR="00602A31" w:rsidRPr="00C253D0">
        <w:rPr>
          <w:rFonts w:asciiTheme="minorHAnsi" w:hAnsiTheme="minorHAnsi" w:cstheme="minorHAnsi"/>
        </w:rPr>
        <w:t xml:space="preserve">providing comparable data over time and across countries. </w:t>
      </w:r>
      <w:r w:rsidR="002846A4">
        <w:rPr>
          <w:rFonts w:asciiTheme="minorHAnsi" w:hAnsiTheme="minorHAnsi" w:cstheme="minorHAnsi"/>
        </w:rPr>
        <w:t xml:space="preserve">In concept, the depth </w:t>
      </w:r>
      <w:r w:rsidR="00454AE5">
        <w:rPr>
          <w:rFonts w:asciiTheme="minorHAnsi" w:hAnsiTheme="minorHAnsi" w:cstheme="minorHAnsi"/>
        </w:rPr>
        <w:t>would be extended to encompass all carbon</w:t>
      </w:r>
      <w:r w:rsidR="00244BCC">
        <w:rPr>
          <w:rFonts w:asciiTheme="minorHAnsi" w:hAnsiTheme="minorHAnsi" w:cstheme="minorHAnsi"/>
        </w:rPr>
        <w:t>. H</w:t>
      </w:r>
      <w:r w:rsidR="00454AE5">
        <w:rPr>
          <w:rFonts w:asciiTheme="minorHAnsi" w:hAnsiTheme="minorHAnsi" w:cstheme="minorHAnsi"/>
        </w:rPr>
        <w:t>owever</w:t>
      </w:r>
      <w:r w:rsidR="00244BCC">
        <w:rPr>
          <w:rFonts w:asciiTheme="minorHAnsi" w:hAnsiTheme="minorHAnsi" w:cstheme="minorHAnsi"/>
        </w:rPr>
        <w:t>,</w:t>
      </w:r>
      <w:r w:rsidR="00454AE5">
        <w:rPr>
          <w:rFonts w:asciiTheme="minorHAnsi" w:hAnsiTheme="minorHAnsi" w:cstheme="minorHAnsi"/>
        </w:rPr>
        <w:t xml:space="preserve"> in practice</w:t>
      </w:r>
      <w:r w:rsidR="00244BCC">
        <w:rPr>
          <w:rFonts w:asciiTheme="minorHAnsi" w:hAnsiTheme="minorHAnsi" w:cstheme="minorHAnsi"/>
        </w:rPr>
        <w:t>,</w:t>
      </w:r>
      <w:r w:rsidR="00454AE5">
        <w:rPr>
          <w:rFonts w:asciiTheme="minorHAnsi" w:hAnsiTheme="minorHAnsi" w:cstheme="minorHAnsi"/>
        </w:rPr>
        <w:t xml:space="preserve"> </w:t>
      </w:r>
      <w:r w:rsidR="001003D1">
        <w:rPr>
          <w:rFonts w:asciiTheme="minorHAnsi" w:hAnsiTheme="minorHAnsi" w:cstheme="minorHAnsi"/>
        </w:rPr>
        <w:t xml:space="preserve">depths such as 2m, 1m or 30cm are likely to be applied depending on data sources. </w:t>
      </w:r>
    </w:p>
    <w:p w14:paraId="4B720654" w14:textId="7FA19D9A" w:rsidR="00FA557B" w:rsidRPr="00C253D0" w:rsidRDefault="00FA557B">
      <w:pPr>
        <w:pStyle w:val="ListParagraph"/>
        <w:numPr>
          <w:ilvl w:val="0"/>
          <w:numId w:val="28"/>
        </w:numPr>
        <w:spacing w:after="120"/>
        <w:ind w:left="1843" w:right="724"/>
        <w:jc w:val="both"/>
        <w:rPr>
          <w:rFonts w:asciiTheme="minorHAnsi" w:hAnsiTheme="minorHAnsi" w:cstheme="minorHAnsi"/>
          <w:lang w:val="en-GB"/>
        </w:rPr>
      </w:pPr>
      <w:r>
        <w:rPr>
          <w:rFonts w:asciiTheme="minorHAnsi" w:hAnsiTheme="minorHAnsi" w:cstheme="minorHAnsi"/>
        </w:rPr>
        <w:t xml:space="preserve">In what form should carbon and stocks of carbon be measured? Thus, for example should measurement include the carbon content of limestone, methane, </w:t>
      </w:r>
      <w:r w:rsidRPr="0082300B">
        <w:rPr>
          <w:rFonts w:ascii="Aptos" w:hAnsi="Aptos"/>
          <w:color w:val="212121"/>
        </w:rPr>
        <w:t>CFCs, PFCs and HFCs</w:t>
      </w:r>
      <w:r>
        <w:rPr>
          <w:rFonts w:ascii="Aptos" w:hAnsi="Aptos"/>
          <w:color w:val="212121"/>
        </w:rPr>
        <w:t xml:space="preserve">, all biota other than timber? What criteria are relevant in determining what should be included? </w:t>
      </w:r>
    </w:p>
    <w:p w14:paraId="6753CEC4" w14:textId="59E81749" w:rsidR="00C50259" w:rsidRPr="00C253D0" w:rsidRDefault="001C6777" w:rsidP="001C6777">
      <w:pPr>
        <w:pStyle w:val="ListParagraph"/>
        <w:numPr>
          <w:ilvl w:val="1"/>
          <w:numId w:val="8"/>
        </w:numPr>
        <w:spacing w:after="120"/>
        <w:ind w:right="724"/>
        <w:jc w:val="both"/>
        <w:rPr>
          <w:rFonts w:asciiTheme="minorHAnsi" w:hAnsiTheme="minorHAnsi" w:cstheme="minorHAnsi"/>
          <w:lang w:val="en-GB"/>
        </w:rPr>
      </w:pPr>
      <w:r w:rsidRPr="00C253D0">
        <w:rPr>
          <w:rFonts w:asciiTheme="minorHAnsi" w:hAnsiTheme="minorHAnsi" w:cstheme="minorHAnsi"/>
          <w:lang w:val="en-GB"/>
        </w:rPr>
        <w:t xml:space="preserve">What </w:t>
      </w:r>
      <w:r w:rsidR="00C50259" w:rsidRPr="00C253D0">
        <w:rPr>
          <w:rFonts w:asciiTheme="minorHAnsi" w:hAnsiTheme="minorHAnsi" w:cstheme="minorHAnsi"/>
          <w:lang w:val="en-GB"/>
        </w:rPr>
        <w:t xml:space="preserve">distinctions </w:t>
      </w:r>
      <w:r w:rsidRPr="00C253D0">
        <w:rPr>
          <w:rFonts w:asciiTheme="minorHAnsi" w:hAnsiTheme="minorHAnsi" w:cstheme="minorHAnsi"/>
          <w:lang w:val="en-GB"/>
        </w:rPr>
        <w:t xml:space="preserve">should be made </w:t>
      </w:r>
      <w:r w:rsidR="00C50259" w:rsidRPr="00C253D0">
        <w:rPr>
          <w:rFonts w:asciiTheme="minorHAnsi" w:hAnsiTheme="minorHAnsi" w:cstheme="minorHAnsi"/>
          <w:lang w:val="en-GB"/>
        </w:rPr>
        <w:t>between different types of addition and reductions in stock (as described in SEEA EA Annex 13.2</w:t>
      </w:r>
      <w:r w:rsidR="003465DA">
        <w:rPr>
          <w:rFonts w:asciiTheme="minorHAnsi" w:hAnsiTheme="minorHAnsi" w:cstheme="minorHAnsi"/>
          <w:lang w:val="en-GB"/>
        </w:rPr>
        <w:t xml:space="preserve"> and copied below</w:t>
      </w:r>
      <w:r w:rsidR="00C50259" w:rsidRPr="00C253D0">
        <w:rPr>
          <w:rFonts w:asciiTheme="minorHAnsi" w:hAnsiTheme="minorHAnsi" w:cstheme="minorHAnsi"/>
          <w:lang w:val="en-GB"/>
        </w:rPr>
        <w:t>)</w:t>
      </w:r>
      <w:r w:rsidR="00DB4591">
        <w:rPr>
          <w:rFonts w:asciiTheme="minorHAnsi" w:hAnsiTheme="minorHAnsi" w:cstheme="minorHAnsi"/>
          <w:lang w:val="en-GB"/>
        </w:rPr>
        <w:t>?</w:t>
      </w:r>
    </w:p>
    <w:p w14:paraId="1B2C5AEA" w14:textId="76CB38B0" w:rsidR="00EC5F15" w:rsidRDefault="008347EF">
      <w:pPr>
        <w:pStyle w:val="ListParagraph"/>
        <w:numPr>
          <w:ilvl w:val="0"/>
          <w:numId w:val="28"/>
        </w:numPr>
        <w:spacing w:after="120"/>
        <w:ind w:left="1843" w:right="724"/>
        <w:jc w:val="both"/>
        <w:rPr>
          <w:rFonts w:asciiTheme="minorHAnsi" w:hAnsiTheme="minorHAnsi" w:cstheme="minorHAnsi"/>
          <w:lang w:val="en-GB"/>
        </w:rPr>
      </w:pPr>
      <w:r>
        <w:rPr>
          <w:rFonts w:asciiTheme="minorHAnsi" w:hAnsiTheme="minorHAnsi" w:cstheme="minorHAnsi"/>
          <w:lang w:val="en-GB"/>
        </w:rPr>
        <w:t>In the first instance</w:t>
      </w:r>
      <w:r w:rsidR="003525A5">
        <w:rPr>
          <w:rFonts w:asciiTheme="minorHAnsi" w:hAnsiTheme="minorHAnsi" w:cstheme="minorHAnsi"/>
          <w:lang w:val="en-GB"/>
        </w:rPr>
        <w:t>,</w:t>
      </w:r>
      <w:r>
        <w:rPr>
          <w:rFonts w:asciiTheme="minorHAnsi" w:hAnsiTheme="minorHAnsi" w:cstheme="minorHAnsi"/>
          <w:lang w:val="en-GB"/>
        </w:rPr>
        <w:t xml:space="preserve"> it will be </w:t>
      </w:r>
      <w:r w:rsidR="000C56BF">
        <w:rPr>
          <w:rFonts w:asciiTheme="minorHAnsi" w:hAnsiTheme="minorHAnsi" w:cstheme="minorHAnsi"/>
          <w:lang w:val="en-GB"/>
        </w:rPr>
        <w:t xml:space="preserve">relevant to ensure that the reductions in stock from each reservoir can be distinguished between those due to </w:t>
      </w:r>
      <w:r w:rsidR="00B51FF4">
        <w:rPr>
          <w:rFonts w:asciiTheme="minorHAnsi" w:hAnsiTheme="minorHAnsi" w:cstheme="minorHAnsi"/>
          <w:lang w:val="en-GB"/>
        </w:rPr>
        <w:t xml:space="preserve">human activity and those due to natural factors. This will </w:t>
      </w:r>
      <w:r w:rsidR="002244B2">
        <w:rPr>
          <w:rFonts w:asciiTheme="minorHAnsi" w:hAnsiTheme="minorHAnsi" w:cstheme="minorHAnsi"/>
          <w:lang w:val="en-GB"/>
        </w:rPr>
        <w:t xml:space="preserve">tend to focus on reductions in stock from the geosphere, biosphere and the economy but will also concern </w:t>
      </w:r>
      <w:r w:rsidR="009950BD">
        <w:rPr>
          <w:rFonts w:asciiTheme="minorHAnsi" w:hAnsiTheme="minorHAnsi" w:cstheme="minorHAnsi"/>
          <w:lang w:val="en-GB"/>
        </w:rPr>
        <w:t>removals of carbon from the atmosphere</w:t>
      </w:r>
      <w:r w:rsidR="00444C90">
        <w:rPr>
          <w:rFonts w:asciiTheme="minorHAnsi" w:hAnsiTheme="minorHAnsi" w:cstheme="minorHAnsi"/>
          <w:lang w:val="en-GB"/>
        </w:rPr>
        <w:t xml:space="preserve"> by both the biosphere and through carbon capture and storage</w:t>
      </w:r>
      <w:r w:rsidR="009950BD">
        <w:rPr>
          <w:rFonts w:asciiTheme="minorHAnsi" w:hAnsiTheme="minorHAnsi" w:cstheme="minorHAnsi"/>
          <w:lang w:val="en-GB"/>
        </w:rPr>
        <w:t>.</w:t>
      </w:r>
      <w:r w:rsidR="00EC7D86">
        <w:rPr>
          <w:rFonts w:asciiTheme="minorHAnsi" w:hAnsiTheme="minorHAnsi" w:cstheme="minorHAnsi"/>
          <w:lang w:val="en-GB"/>
        </w:rPr>
        <w:t xml:space="preserve"> A close coherence will be needed in measuring these reductions with the measurement and recording of carbon flows </w:t>
      </w:r>
      <w:r w:rsidR="00252F6E">
        <w:rPr>
          <w:rFonts w:asciiTheme="minorHAnsi" w:hAnsiTheme="minorHAnsi" w:cstheme="minorHAnsi"/>
          <w:lang w:val="en-GB"/>
        </w:rPr>
        <w:t xml:space="preserve">and the reporting of </w:t>
      </w:r>
      <w:r w:rsidR="00444C90">
        <w:rPr>
          <w:rFonts w:asciiTheme="minorHAnsi" w:hAnsiTheme="minorHAnsi" w:cstheme="minorHAnsi"/>
          <w:lang w:val="en-GB"/>
        </w:rPr>
        <w:t>GHG emissions, including LULUCF emissions.</w:t>
      </w:r>
    </w:p>
    <w:p w14:paraId="358E829C" w14:textId="3C2303CF" w:rsidR="008926AA" w:rsidRDefault="008926AA">
      <w:pPr>
        <w:pStyle w:val="ListParagraph"/>
        <w:numPr>
          <w:ilvl w:val="0"/>
          <w:numId w:val="28"/>
        </w:numPr>
        <w:spacing w:after="120"/>
        <w:ind w:left="1843" w:right="724"/>
        <w:jc w:val="both"/>
        <w:rPr>
          <w:rFonts w:asciiTheme="minorHAnsi" w:hAnsiTheme="minorHAnsi" w:cstheme="minorHAnsi"/>
          <w:lang w:val="en-GB"/>
        </w:rPr>
      </w:pPr>
      <w:r>
        <w:rPr>
          <w:rFonts w:asciiTheme="minorHAnsi" w:hAnsiTheme="minorHAnsi" w:cstheme="minorHAnsi"/>
          <w:lang w:val="en-GB"/>
        </w:rPr>
        <w:t>Further, as a general principle, the ambition should be to record all flows – both additions and reductions – among all of the reservoirs</w:t>
      </w:r>
      <w:r w:rsidR="00010345">
        <w:rPr>
          <w:rFonts w:asciiTheme="minorHAnsi" w:hAnsiTheme="minorHAnsi" w:cstheme="minorHAnsi"/>
          <w:lang w:val="en-GB"/>
        </w:rPr>
        <w:t>, i.e. recording changes in gross</w:t>
      </w:r>
      <w:r w:rsidR="007F35E0">
        <w:rPr>
          <w:rFonts w:asciiTheme="minorHAnsi" w:hAnsiTheme="minorHAnsi" w:cstheme="minorHAnsi"/>
          <w:lang w:val="en-GB"/>
        </w:rPr>
        <w:t xml:space="preserve"> rather than net</w:t>
      </w:r>
      <w:r w:rsidR="00010345">
        <w:rPr>
          <w:rFonts w:asciiTheme="minorHAnsi" w:hAnsiTheme="minorHAnsi" w:cstheme="minorHAnsi"/>
          <w:lang w:val="en-GB"/>
        </w:rPr>
        <w:t xml:space="preserve"> terms</w:t>
      </w:r>
      <w:r w:rsidR="00A9383F">
        <w:rPr>
          <w:rFonts w:asciiTheme="minorHAnsi" w:hAnsiTheme="minorHAnsi" w:cstheme="minorHAnsi"/>
          <w:lang w:val="en-GB"/>
        </w:rPr>
        <w:t xml:space="preserve"> (noting that it will be relevant to focus on </w:t>
      </w:r>
      <w:r w:rsidR="00D74DC3">
        <w:rPr>
          <w:rFonts w:asciiTheme="minorHAnsi" w:hAnsiTheme="minorHAnsi" w:cstheme="minorHAnsi"/>
          <w:lang w:val="en-GB"/>
        </w:rPr>
        <w:t xml:space="preserve">annual flows and set aside daily </w:t>
      </w:r>
      <w:r w:rsidR="00AF662F">
        <w:rPr>
          <w:rFonts w:asciiTheme="minorHAnsi" w:hAnsiTheme="minorHAnsi" w:cstheme="minorHAnsi"/>
          <w:lang w:val="en-GB"/>
        </w:rPr>
        <w:t>fluxes</w:t>
      </w:r>
      <w:r w:rsidR="00D74DC3">
        <w:rPr>
          <w:rFonts w:asciiTheme="minorHAnsi" w:hAnsiTheme="minorHAnsi" w:cstheme="minorHAnsi"/>
          <w:lang w:val="en-GB"/>
        </w:rPr>
        <w:t xml:space="preserve"> such as those relating to photosynthesis</w:t>
      </w:r>
      <w:r w:rsidR="00FA557B">
        <w:rPr>
          <w:rFonts w:asciiTheme="minorHAnsi" w:hAnsiTheme="minorHAnsi" w:cstheme="minorHAnsi"/>
          <w:lang w:val="en-GB"/>
        </w:rPr>
        <w:t xml:space="preserve"> and potentially seasonal fluxes</w:t>
      </w:r>
      <w:r w:rsidR="00D74DC3">
        <w:rPr>
          <w:rFonts w:asciiTheme="minorHAnsi" w:hAnsiTheme="minorHAnsi" w:cstheme="minorHAnsi"/>
          <w:lang w:val="en-GB"/>
        </w:rPr>
        <w:t>)</w:t>
      </w:r>
      <w:r w:rsidR="00010345">
        <w:rPr>
          <w:rFonts w:asciiTheme="minorHAnsi" w:hAnsiTheme="minorHAnsi" w:cstheme="minorHAnsi"/>
          <w:lang w:val="en-GB"/>
        </w:rPr>
        <w:t xml:space="preserve">. </w:t>
      </w:r>
      <w:r w:rsidR="00D43050">
        <w:rPr>
          <w:rFonts w:asciiTheme="minorHAnsi" w:hAnsiTheme="minorHAnsi" w:cstheme="minorHAnsi"/>
          <w:lang w:val="en-GB"/>
        </w:rPr>
        <w:t xml:space="preserve">A gross recording approach </w:t>
      </w:r>
      <w:r w:rsidR="00010345">
        <w:rPr>
          <w:rFonts w:asciiTheme="minorHAnsi" w:hAnsiTheme="minorHAnsi" w:cstheme="minorHAnsi"/>
          <w:lang w:val="en-GB"/>
        </w:rPr>
        <w:t xml:space="preserve">allows for more detailed understanding of </w:t>
      </w:r>
      <w:r w:rsidR="00A97ECE">
        <w:rPr>
          <w:rFonts w:asciiTheme="minorHAnsi" w:hAnsiTheme="minorHAnsi" w:cstheme="minorHAnsi"/>
          <w:lang w:val="en-GB"/>
        </w:rPr>
        <w:t xml:space="preserve">the connections between the different stocks and supports identifying specific </w:t>
      </w:r>
      <w:r w:rsidR="00D65E78">
        <w:rPr>
          <w:rFonts w:asciiTheme="minorHAnsi" w:hAnsiTheme="minorHAnsi" w:cstheme="minorHAnsi"/>
          <w:lang w:val="en-GB"/>
        </w:rPr>
        <w:t>sources and sinks of carbon in an integrated way</w:t>
      </w:r>
      <w:r w:rsidR="00DB11B1">
        <w:rPr>
          <w:rFonts w:asciiTheme="minorHAnsi" w:hAnsiTheme="minorHAnsi" w:cstheme="minorHAnsi"/>
          <w:lang w:val="en-GB"/>
        </w:rPr>
        <w:t xml:space="preserve"> and attributin</w:t>
      </w:r>
      <w:r w:rsidR="00434CB6">
        <w:rPr>
          <w:rFonts w:asciiTheme="minorHAnsi" w:hAnsiTheme="minorHAnsi" w:cstheme="minorHAnsi"/>
          <w:lang w:val="en-GB"/>
        </w:rPr>
        <w:t>g</w:t>
      </w:r>
      <w:r w:rsidR="00DB11B1">
        <w:rPr>
          <w:rFonts w:asciiTheme="minorHAnsi" w:hAnsiTheme="minorHAnsi" w:cstheme="minorHAnsi"/>
          <w:lang w:val="en-GB"/>
        </w:rPr>
        <w:t xml:space="preserve"> changes</w:t>
      </w:r>
      <w:r w:rsidR="007F61E8">
        <w:rPr>
          <w:rFonts w:asciiTheme="minorHAnsi" w:hAnsiTheme="minorHAnsi" w:cstheme="minorHAnsi"/>
          <w:lang w:val="en-GB"/>
        </w:rPr>
        <w:t xml:space="preserve"> to different drivers</w:t>
      </w:r>
      <w:r w:rsidR="00D65E78">
        <w:rPr>
          <w:rFonts w:asciiTheme="minorHAnsi" w:hAnsiTheme="minorHAnsi" w:cstheme="minorHAnsi"/>
          <w:lang w:val="en-GB"/>
        </w:rPr>
        <w:t xml:space="preserve">. </w:t>
      </w:r>
    </w:p>
    <w:p w14:paraId="56162C6C" w14:textId="65012AE2" w:rsidR="00E943A2" w:rsidRDefault="00E943A2">
      <w:pPr>
        <w:pStyle w:val="ListParagraph"/>
        <w:numPr>
          <w:ilvl w:val="0"/>
          <w:numId w:val="28"/>
        </w:numPr>
        <w:spacing w:after="120"/>
        <w:ind w:left="1843" w:right="724"/>
        <w:jc w:val="both"/>
        <w:rPr>
          <w:rFonts w:asciiTheme="minorHAnsi" w:hAnsiTheme="minorHAnsi" w:cstheme="minorHAnsi"/>
          <w:lang w:val="en-GB"/>
        </w:rPr>
      </w:pPr>
      <w:r w:rsidRPr="00C253D0">
        <w:rPr>
          <w:rFonts w:asciiTheme="minorHAnsi" w:hAnsiTheme="minorHAnsi" w:cstheme="minorHAnsi"/>
          <w:lang w:val="en-GB"/>
        </w:rPr>
        <w:t xml:space="preserve">Discussion of this question will need to consider the links with other accounts in the SEEA CF and SEEA EA such that the level of </w:t>
      </w:r>
      <w:r w:rsidR="007F61E8">
        <w:rPr>
          <w:rFonts w:asciiTheme="minorHAnsi" w:hAnsiTheme="minorHAnsi" w:cstheme="minorHAnsi"/>
          <w:lang w:val="en-GB"/>
        </w:rPr>
        <w:t xml:space="preserve">detail provided in the rows and columns of the carbon stock account </w:t>
      </w:r>
      <w:r w:rsidRPr="00C253D0">
        <w:rPr>
          <w:rFonts w:asciiTheme="minorHAnsi" w:hAnsiTheme="minorHAnsi" w:cstheme="minorHAnsi"/>
          <w:lang w:val="en-GB"/>
        </w:rPr>
        <w:t>are coheren</w:t>
      </w:r>
      <w:r w:rsidR="007F61E8">
        <w:rPr>
          <w:rFonts w:asciiTheme="minorHAnsi" w:hAnsiTheme="minorHAnsi" w:cstheme="minorHAnsi"/>
          <w:lang w:val="en-GB"/>
        </w:rPr>
        <w:t>t with other accounts</w:t>
      </w:r>
      <w:r w:rsidRPr="00C253D0">
        <w:rPr>
          <w:rFonts w:asciiTheme="minorHAnsi" w:hAnsiTheme="minorHAnsi" w:cstheme="minorHAnsi"/>
          <w:lang w:val="en-GB"/>
        </w:rPr>
        <w:t xml:space="preserve"> and meet the requirements for reporting and analysis – for example in relation to recording LULUCF emissions and carbon capture and storage.</w:t>
      </w:r>
    </w:p>
    <w:p w14:paraId="4D29A79F" w14:textId="77777777" w:rsidR="002B7B39" w:rsidRDefault="002B7B39" w:rsidP="00C50259">
      <w:pPr>
        <w:pStyle w:val="Paragraph"/>
        <w:numPr>
          <w:ilvl w:val="0"/>
          <w:numId w:val="0"/>
        </w:numPr>
        <w:ind w:left="714" w:hanging="357"/>
        <w:rPr>
          <w:lang w:val="en-GB"/>
        </w:rPr>
      </w:pPr>
    </w:p>
    <w:p w14:paraId="34093833" w14:textId="7B2D22D7" w:rsidR="001E30A5" w:rsidRDefault="001E30A5" w:rsidP="00E943A2">
      <w:pPr>
        <w:pStyle w:val="Heading2"/>
        <w:rPr>
          <w:lang w:val="en-GB"/>
        </w:rPr>
      </w:pPr>
      <w:bookmarkStart w:id="18" w:name="_Toc239173048"/>
      <w:r>
        <w:rPr>
          <w:lang w:val="en-GB"/>
        </w:rPr>
        <w:lastRenderedPageBreak/>
        <w:t>Measuring carbon in the economy</w:t>
      </w:r>
      <w:bookmarkEnd w:id="18"/>
      <w:r>
        <w:rPr>
          <w:lang w:val="en-GB"/>
        </w:rPr>
        <w:t xml:space="preserve"> </w:t>
      </w:r>
    </w:p>
    <w:p w14:paraId="3CAD88C5" w14:textId="1768C6A0" w:rsidR="00EF54B4" w:rsidRPr="000A3326" w:rsidRDefault="004E116B" w:rsidP="00EF54B4">
      <w:pPr>
        <w:pStyle w:val="Paragraph"/>
      </w:pPr>
      <w:r>
        <w:t xml:space="preserve">Building on the </w:t>
      </w:r>
      <w:r w:rsidR="000B0945">
        <w:t xml:space="preserve">content </w:t>
      </w:r>
      <w:r w:rsidR="00EB0897">
        <w:t>above</w:t>
      </w:r>
      <w:r w:rsidR="000B0945">
        <w:t>, t</w:t>
      </w:r>
      <w:r w:rsidR="00EF54B4" w:rsidRPr="000A3326">
        <w:t xml:space="preserve">his section considers the feasibility of quantifying the </w:t>
      </w:r>
      <w:r w:rsidR="00A95B85">
        <w:t xml:space="preserve">stock </w:t>
      </w:r>
      <w:r w:rsidR="00EF54B4" w:rsidRPr="000A3326">
        <w:t xml:space="preserve">of carbon </w:t>
      </w:r>
      <w:r w:rsidR="00A95B85">
        <w:t>in</w:t>
      </w:r>
      <w:r w:rsidR="00EF54B4" w:rsidRPr="000A3326">
        <w:t xml:space="preserve"> the economy, and how such stocks might be linked to the corresponding inflows and outflows</w:t>
      </w:r>
      <w:r w:rsidR="001C7E9C">
        <w:t xml:space="preserve"> of carbon</w:t>
      </w:r>
      <w:r w:rsidR="00EF54B4" w:rsidRPr="000A3326">
        <w:t xml:space="preserve">. Given the production boundaries established in the 2025 SNA, </w:t>
      </w:r>
      <w:r w:rsidR="001C7E9C">
        <w:t>a</w:t>
      </w:r>
      <w:r w:rsidR="00EF54B4" w:rsidRPr="000A3326">
        <w:t xml:space="preserve"> question arises as to the extent to which these boundaries can be aligned with the </w:t>
      </w:r>
      <w:r w:rsidR="00D43050">
        <w:t xml:space="preserve">carbon </w:t>
      </w:r>
      <w:r w:rsidR="00EF54B4" w:rsidRPr="000A3326">
        <w:t>stock boundaries defined in the SEEA</w:t>
      </w:r>
      <w:r w:rsidR="00EF54B4">
        <w:t xml:space="preserve"> </w:t>
      </w:r>
      <w:r w:rsidR="00EF54B4" w:rsidRPr="000A3326">
        <w:t>EA.</w:t>
      </w:r>
    </w:p>
    <w:p w14:paraId="6864CCF3" w14:textId="2D195C7C" w:rsidR="00EF54B4" w:rsidRPr="000A3326" w:rsidRDefault="00793C0D" w:rsidP="00EF54B4">
      <w:pPr>
        <w:pStyle w:val="Paragraph"/>
      </w:pPr>
      <w:r>
        <w:t>This section does n</w:t>
      </w:r>
      <w:r w:rsidR="00EF54B4">
        <w:t>ot c</w:t>
      </w:r>
      <w:r w:rsidR="00EF54B4" w:rsidRPr="000A3326">
        <w:t>onsider whole-</w:t>
      </w:r>
      <w:r w:rsidR="00D1525B">
        <w:t>of-</w:t>
      </w:r>
      <w:r w:rsidR="00EF54B4" w:rsidRPr="000A3326">
        <w:t xml:space="preserve">life carbon emissions </w:t>
      </w:r>
      <w:r w:rsidR="001E1910">
        <w:t xml:space="preserve">associated with individual </w:t>
      </w:r>
      <w:r w:rsidR="00EF54B4" w:rsidRPr="000A3326">
        <w:t>economic assets</w:t>
      </w:r>
      <w:r w:rsidR="00EF54B4">
        <w:t xml:space="preserve">. </w:t>
      </w:r>
      <w:r w:rsidR="00EF54B4" w:rsidRPr="000A3326">
        <w:t>The</w:t>
      </w:r>
      <w:r w:rsidR="00EF54B4">
        <w:t xml:space="preserve">se </w:t>
      </w:r>
      <w:r w:rsidR="001E1910">
        <w:t xml:space="preserve">emissions </w:t>
      </w:r>
      <w:r w:rsidR="00EF54B4" w:rsidRPr="000A3326">
        <w:t>would typically include emissions generated during the construction phase, prior to the asset’s use, as well as those arising from its operational phase (e.g. heating, cooling, lighting).</w:t>
      </w:r>
      <w:r w:rsidR="00666E7D">
        <w:t xml:space="preserve"> In concept, these should be reported in a carbon stock account as reduction in stock during the accounting period in which they occur.</w:t>
      </w:r>
    </w:p>
    <w:p w14:paraId="4177B30B" w14:textId="141B5708" w:rsidR="001C5C53" w:rsidRDefault="00EF54B4" w:rsidP="00EF54B4">
      <w:pPr>
        <w:pStyle w:val="Paragraph"/>
      </w:pPr>
      <w:r w:rsidRPr="000A3326">
        <w:t>The</w:t>
      </w:r>
      <w:r w:rsidR="00C06F0C">
        <w:t xml:space="preserve"> scope of measurement of stocks of </w:t>
      </w:r>
      <w:r w:rsidRPr="000A3326">
        <w:t xml:space="preserve">carbon </w:t>
      </w:r>
      <w:r w:rsidR="00C06F0C">
        <w:t xml:space="preserve">in the economy needs to be considered </w:t>
      </w:r>
      <w:r w:rsidR="00F52E57">
        <w:t>by different components within the economy. T</w:t>
      </w:r>
      <w:r w:rsidR="001C5C53">
        <w:t>he</w:t>
      </w:r>
      <w:r w:rsidR="001C5C53" w:rsidRPr="000A3326">
        <w:t xml:space="preserve"> </w:t>
      </w:r>
      <w:r w:rsidR="00F52E57">
        <w:t xml:space="preserve">description in the </w:t>
      </w:r>
      <w:r w:rsidR="001C5C53" w:rsidRPr="000A3326">
        <w:t>SEEA</w:t>
      </w:r>
      <w:r w:rsidR="001C5C53">
        <w:t xml:space="preserve"> </w:t>
      </w:r>
      <w:r w:rsidR="001C5C53" w:rsidRPr="000A3326">
        <w:t xml:space="preserve">EA </w:t>
      </w:r>
      <w:r w:rsidR="00176C59">
        <w:t xml:space="preserve">has the following components: </w:t>
      </w:r>
      <w:r w:rsidR="001C5C53">
        <w:t>“</w:t>
      </w:r>
      <w:r w:rsidR="001C5C53" w:rsidRPr="00E64C72">
        <w:rPr>
          <w:i/>
          <w:iCs/>
        </w:rPr>
        <w:t xml:space="preserve">Accumulations in the economy, which are the stocks of carbon in anthropogenic products, are further disaggregated into the following SNA components: fixed assets (e.g., concrete in buildings, bitumen in roads, livestock); inventories (e.g., petroleum products in storage, excluding those included in agricultural ecosystems); consumer durables (e.g., wood and plastic products); and </w:t>
      </w:r>
      <w:proofErr w:type="gramStart"/>
      <w:r w:rsidR="001C5C53" w:rsidRPr="00E64C72">
        <w:rPr>
          <w:i/>
          <w:iCs/>
        </w:rPr>
        <w:t>waste.</w:t>
      </w:r>
      <w:r w:rsidR="001C5C53">
        <w:t>“</w:t>
      </w:r>
      <w:proofErr w:type="gramEnd"/>
      <w:r w:rsidR="001C5C53">
        <w:t xml:space="preserve"> (SEEA EA Paragraph </w:t>
      </w:r>
      <w:r w:rsidR="001C5C53" w:rsidRPr="00EF0198">
        <w:t>A13.20</w:t>
      </w:r>
      <w:r w:rsidR="001C5C53">
        <w:t>).</w:t>
      </w:r>
    </w:p>
    <w:p w14:paraId="1028E975" w14:textId="0475AA59" w:rsidR="00E558B0" w:rsidRDefault="009A5A25" w:rsidP="00E73297">
      <w:pPr>
        <w:pStyle w:val="Paragraph"/>
      </w:pPr>
      <w:r>
        <w:t xml:space="preserve">On reflection, while the four main components – fixed assets, inventories, consumer durables and waste – provide an appropriate </w:t>
      </w:r>
      <w:r w:rsidR="00D81C01">
        <w:t>general scope, the examples provided raise some questions about specific treatments</w:t>
      </w:r>
      <w:r w:rsidR="00E558B0">
        <w:t xml:space="preserve">, especially regarding cultivated biological resources. As well, given the changes in the </w:t>
      </w:r>
      <w:proofErr w:type="gramStart"/>
      <w:r w:rsidR="002D1522">
        <w:t>high level</w:t>
      </w:r>
      <w:proofErr w:type="gramEnd"/>
      <w:r w:rsidR="002D1522">
        <w:t xml:space="preserve"> asset classification</w:t>
      </w:r>
      <w:r w:rsidR="00E558B0">
        <w:t xml:space="preserve"> of the 2025</w:t>
      </w:r>
      <w:r w:rsidR="002D1522">
        <w:t xml:space="preserve"> SNA</w:t>
      </w:r>
      <w:r w:rsidR="002D623B">
        <w:t xml:space="preserve"> to specifically separate </w:t>
      </w:r>
      <w:r w:rsidR="00B00CA0">
        <w:t>natural resources (including cultivated biological resources) at the top level of the classification</w:t>
      </w:r>
      <w:r w:rsidR="002D1522">
        <w:t xml:space="preserve">, it is relevant to </w:t>
      </w:r>
      <w:r w:rsidR="00D62249">
        <w:t>review the SEEA EA description.</w:t>
      </w:r>
    </w:p>
    <w:p w14:paraId="0F57D4AE" w14:textId="2967E927" w:rsidR="00D62249" w:rsidRDefault="00E93DCF" w:rsidP="00E73297">
      <w:pPr>
        <w:pStyle w:val="Paragraph"/>
      </w:pPr>
      <w:r>
        <w:t>T</w:t>
      </w:r>
      <w:r w:rsidR="00D62249">
        <w:t>he following components of carbon in the economy are proposed:</w:t>
      </w:r>
    </w:p>
    <w:p w14:paraId="7EF82E03" w14:textId="740AD3AC" w:rsidR="00D62249" w:rsidRDefault="00BC50C6" w:rsidP="00D62249">
      <w:pPr>
        <w:pStyle w:val="Paragraph"/>
        <w:numPr>
          <w:ilvl w:val="1"/>
          <w:numId w:val="8"/>
        </w:numPr>
      </w:pPr>
      <w:r>
        <w:t>Carbon in fixed assets excluding cultivated biological resources</w:t>
      </w:r>
      <w:r w:rsidR="00781F2D">
        <w:t xml:space="preserve"> (e.g. concrete in buildings, bitumen in roads, wood</w:t>
      </w:r>
      <w:r w:rsidR="00B24698">
        <w:t xml:space="preserve"> used in houses, plastics in vehicles and </w:t>
      </w:r>
      <w:r w:rsidR="00732013">
        <w:t>machinery)</w:t>
      </w:r>
    </w:p>
    <w:p w14:paraId="773587F1" w14:textId="326E1E28" w:rsidR="00781F2D" w:rsidRDefault="00781F2D" w:rsidP="00D62249">
      <w:pPr>
        <w:pStyle w:val="Paragraph"/>
        <w:numPr>
          <w:ilvl w:val="1"/>
          <w:numId w:val="8"/>
        </w:numPr>
      </w:pPr>
      <w:r>
        <w:t xml:space="preserve">Carbon in inventories excluding </w:t>
      </w:r>
      <w:r w:rsidR="00732013">
        <w:t xml:space="preserve">cultivated biological resources (e.g. </w:t>
      </w:r>
      <w:r w:rsidR="00FA5E13">
        <w:t xml:space="preserve">extracted </w:t>
      </w:r>
      <w:r w:rsidR="0013039B">
        <w:t>petroleum products plastic products</w:t>
      </w:r>
      <w:r w:rsidR="00956858">
        <w:t>, harvested wood</w:t>
      </w:r>
      <w:r w:rsidR="00FA5E13">
        <w:t xml:space="preserve"> products</w:t>
      </w:r>
      <w:r w:rsidR="0013039B">
        <w:t>)</w:t>
      </w:r>
    </w:p>
    <w:p w14:paraId="04A1E95C" w14:textId="19D5750C" w:rsidR="0013039B" w:rsidRDefault="0013039B" w:rsidP="00D62249">
      <w:pPr>
        <w:pStyle w:val="Paragraph"/>
        <w:numPr>
          <w:ilvl w:val="1"/>
          <w:numId w:val="8"/>
        </w:numPr>
      </w:pPr>
      <w:r>
        <w:t>Carbon in cultivated biological resources (e.g. livestock</w:t>
      </w:r>
      <w:r w:rsidR="003D4B27">
        <w:t>, plantation forests, orchards, vineyards, permanent crops)</w:t>
      </w:r>
    </w:p>
    <w:p w14:paraId="5636027A" w14:textId="282828C1" w:rsidR="0034659D" w:rsidRDefault="0034659D" w:rsidP="00D62249">
      <w:pPr>
        <w:pStyle w:val="Paragraph"/>
        <w:numPr>
          <w:ilvl w:val="1"/>
          <w:numId w:val="8"/>
        </w:numPr>
      </w:pPr>
      <w:r>
        <w:t>Carbon in consumer durables (e.g. cars, electrical products)</w:t>
      </w:r>
    </w:p>
    <w:p w14:paraId="53CCFCF0" w14:textId="50E9A377" w:rsidR="00C21A86" w:rsidRDefault="00C21A86" w:rsidP="00D62249">
      <w:pPr>
        <w:pStyle w:val="Paragraph"/>
        <w:numPr>
          <w:ilvl w:val="1"/>
          <w:numId w:val="8"/>
        </w:numPr>
      </w:pPr>
      <w:r>
        <w:t>Carbon in waste (e.g. managed landfills)</w:t>
      </w:r>
    </w:p>
    <w:p w14:paraId="47FBE9C1" w14:textId="6ECA248A" w:rsidR="00FA557B" w:rsidRDefault="00FA557B" w:rsidP="00FA557B">
      <w:pPr>
        <w:pStyle w:val="Paragraph"/>
      </w:pPr>
      <w:r>
        <w:t>An alternative treatment would be to align the scope of carbon in the biosphere with the treatment in the SEEA EA, where all ecosystems would be considered part of the biosphere and no distinction is drawn between cultivated and non-cultivated biological resources (</w:t>
      </w:r>
      <w:proofErr w:type="gramStart"/>
      <w:r>
        <w:t>with the exception of</w:t>
      </w:r>
      <w:proofErr w:type="gramEnd"/>
      <w:r>
        <w:t xml:space="preserve"> livestock). Thus, for example, the carbon in all forests, wooded land and grasslands would be recorded under the biosphere rather than being separated such that carbon in cultivated biological resources was included in the economy.</w:t>
      </w:r>
    </w:p>
    <w:p w14:paraId="2DD03AAF" w14:textId="6FD6606F" w:rsidR="007F17F5" w:rsidRDefault="00B40EBE" w:rsidP="00910547">
      <w:pPr>
        <w:pStyle w:val="Paragraph"/>
      </w:pPr>
      <w:r>
        <w:lastRenderedPageBreak/>
        <w:t xml:space="preserve">In general, this treatment would align more closely to </w:t>
      </w:r>
      <w:r w:rsidR="00111C79">
        <w:t xml:space="preserve">the treatment of carbon </w:t>
      </w:r>
      <w:r w:rsidR="00182EAC">
        <w:t>stocks and flows for the measurement of the global climate regulating services in the SEEA EA</w:t>
      </w:r>
      <w:r w:rsidR="00CC3278">
        <w:t>. Also, it is noted that in ecosystem accounting no distinction is made between cultivated and non-cultivated biological resources with respect to the economy. Rather, a distinction is made in terms of ecosystem types between natural, semi-natural and anthropogenic ecosystems but this categorisation may, or may not, link well to the cultivated / non-cultivated distinction.</w:t>
      </w:r>
      <w:r w:rsidR="00FA557B">
        <w:t xml:space="preserve"> </w:t>
      </w:r>
      <w:r w:rsidR="00291EB9">
        <w:t xml:space="preserve">Including </w:t>
      </w:r>
      <w:r w:rsidR="007F17F5">
        <w:t xml:space="preserve">carbon in </w:t>
      </w:r>
      <w:r w:rsidR="00291EB9">
        <w:t xml:space="preserve">cultivated biological resources in the </w:t>
      </w:r>
      <w:r w:rsidR="007F17F5">
        <w:t>biosphere</w:t>
      </w:r>
      <w:r w:rsidR="00182EAC">
        <w:t xml:space="preserve"> would also be more align</w:t>
      </w:r>
      <w:r w:rsidR="00312D9E">
        <w:t xml:space="preserve">ed with measurements of </w:t>
      </w:r>
      <w:r w:rsidR="0069052E">
        <w:t xml:space="preserve">LULUCF </w:t>
      </w:r>
      <w:r w:rsidR="00312D9E">
        <w:t>carbon emissions for UNFCCC reporting</w:t>
      </w:r>
      <w:r w:rsidR="0069052E">
        <w:t xml:space="preserve">. </w:t>
      </w:r>
    </w:p>
    <w:p w14:paraId="21BBFA44" w14:textId="0E80F6E9" w:rsidR="00B4784B" w:rsidRDefault="007F17F5" w:rsidP="00026B5F">
      <w:pPr>
        <w:pStyle w:val="Paragraph"/>
      </w:pPr>
      <w:r>
        <w:t xml:space="preserve">However, </w:t>
      </w:r>
      <w:r w:rsidR="00026B5F">
        <w:t xml:space="preserve">this treatment </w:t>
      </w:r>
      <w:r w:rsidR="0069052E">
        <w:t>would draw the boundary between the economy and the environment in a different place compared to other accounts of the SEEA CF – e.g. air emission accounts.</w:t>
      </w:r>
      <w:r w:rsidR="00026B5F">
        <w:t xml:space="preserve"> </w:t>
      </w:r>
      <w:r w:rsidR="00B4784B">
        <w:t>Thus, in describing the boundary between the biosphere and the economy, the alignment between the SEEA CF, SEEA EA and the SNA will need to be considered.</w:t>
      </w:r>
    </w:p>
    <w:p w14:paraId="005C1A2E" w14:textId="260DD1DD" w:rsidR="0055746D" w:rsidRDefault="00026B5F" w:rsidP="00EF54B4">
      <w:pPr>
        <w:pStyle w:val="Paragraph"/>
      </w:pPr>
      <w:r>
        <w:t>T</w:t>
      </w:r>
      <w:r w:rsidR="000A6322">
        <w:t xml:space="preserve">here are </w:t>
      </w:r>
      <w:r w:rsidR="00EB6087">
        <w:t xml:space="preserve">two </w:t>
      </w:r>
      <w:r>
        <w:t xml:space="preserve">other </w:t>
      </w:r>
      <w:r w:rsidR="00EB6087">
        <w:t xml:space="preserve">boundary issues to be clarified. The first </w:t>
      </w:r>
      <w:r w:rsidR="00B15D4A">
        <w:t xml:space="preserve">issue </w:t>
      </w:r>
      <w:r w:rsidR="00EB6087">
        <w:t>concerns the boundary between cultivated and non-cultivated biological resources</w:t>
      </w:r>
      <w:r w:rsidR="00E7670A">
        <w:t xml:space="preserve"> which will be relevant to the extent that carbon in cultivated biological resources </w:t>
      </w:r>
      <w:proofErr w:type="gramStart"/>
      <w:r w:rsidR="00E7670A">
        <w:t xml:space="preserve">is </w:t>
      </w:r>
      <w:r w:rsidR="00C50946">
        <w:t>considered to be</w:t>
      </w:r>
      <w:proofErr w:type="gramEnd"/>
      <w:r w:rsidR="00C50946">
        <w:t xml:space="preserve"> within the economy.</w:t>
      </w:r>
      <w:r w:rsidR="00EB6087">
        <w:t xml:space="preserve"> </w:t>
      </w:r>
      <w:r w:rsidR="000E755D">
        <w:t>As discussed at length in GN A9.2, t</w:t>
      </w:r>
      <w:r w:rsidR="002D623B">
        <w:t>he 2025</w:t>
      </w:r>
      <w:r w:rsidR="00E93DCF">
        <w:t xml:space="preserve"> SNA has </w:t>
      </w:r>
      <w:r w:rsidR="000E755D">
        <w:t xml:space="preserve">changed the criteria for establishing the boundary between </w:t>
      </w:r>
      <w:r w:rsidR="0055746D">
        <w:t xml:space="preserve">cultivated and non-cultivated biological resources. The main effect in practice is that all timber resources that are available for wood supply are </w:t>
      </w:r>
      <w:r w:rsidR="00742C56">
        <w:t xml:space="preserve">considered cultivated, irrespective of the degree of management which had been the previous SNA criteria. </w:t>
      </w:r>
      <w:r w:rsidR="006447F4">
        <w:t>Subject to consultation processes in the update of the SEEA CF</w:t>
      </w:r>
      <w:r w:rsidR="00D65062">
        <w:t>, it is proposed that the scope of carbon in the economy will align with the agreed treatment of</w:t>
      </w:r>
      <w:r w:rsidR="005029C9">
        <w:t xml:space="preserve"> the boundary. Thus, the scope </w:t>
      </w:r>
      <w:r w:rsidR="00FA557B">
        <w:t xml:space="preserve">of carbon in the economy </w:t>
      </w:r>
      <w:r w:rsidR="005029C9">
        <w:t>may be extended to include carbon in all timber available for wood supply.</w:t>
      </w:r>
    </w:p>
    <w:p w14:paraId="38F6E034" w14:textId="3C4A958C" w:rsidR="00B15D4A" w:rsidRDefault="00B15D4A" w:rsidP="00EF54B4">
      <w:pPr>
        <w:pStyle w:val="Paragraph"/>
      </w:pPr>
      <w:r>
        <w:t xml:space="preserve">The second issue concerns the treatment of carbon capture and storage and related </w:t>
      </w:r>
      <w:r w:rsidR="00E72374">
        <w:t>activities whereby carbon is captured (from production processes or directly from the atmosphere) and stored</w:t>
      </w:r>
      <w:r w:rsidR="00C75188">
        <w:t xml:space="preserve">, potentially in underground facilities or </w:t>
      </w:r>
      <w:r w:rsidR="000F3B30">
        <w:t xml:space="preserve">existing </w:t>
      </w:r>
      <w:r w:rsidR="00C75188">
        <w:t xml:space="preserve">natural </w:t>
      </w:r>
      <w:r w:rsidR="000F3B30">
        <w:t>reservoirs. GN B3 considered whether th</w:t>
      </w:r>
      <w:r w:rsidR="00994574">
        <w:t xml:space="preserve">e flows of carbon into storage should be considered as flows within the economy or from the economy to the environment. </w:t>
      </w:r>
      <w:r w:rsidR="00C83395">
        <w:t>Discussion is ongoing as to the appropriate treatment and the relevant criteria to be applied</w:t>
      </w:r>
      <w:r w:rsidR="001A5624">
        <w:t xml:space="preserve"> (e.g. degree of management of the stock, intended time scales for storage)</w:t>
      </w:r>
      <w:r w:rsidR="00C83395">
        <w:t xml:space="preserve">. </w:t>
      </w:r>
      <w:r w:rsidR="003212C3">
        <w:t>It is proposed that the scope of carbon in the economy will align with the agreed treatment of these flows</w:t>
      </w:r>
      <w:r w:rsidR="007C345C">
        <w:t xml:space="preserve"> and thus carbon in the economy will include the carbon</w:t>
      </w:r>
      <w:r w:rsidR="007B5A18">
        <w:t xml:space="preserve"> stored where the flow </w:t>
      </w:r>
      <w:proofErr w:type="gramStart"/>
      <w:r w:rsidR="007B5A18">
        <w:t>is considered to be</w:t>
      </w:r>
      <w:proofErr w:type="gramEnd"/>
      <w:r w:rsidR="007B5A18">
        <w:t xml:space="preserve"> within the economy. It is proposed that if the flow is considered a flow to the </w:t>
      </w:r>
      <w:proofErr w:type="gramStart"/>
      <w:r w:rsidR="007B5A18">
        <w:t>environment</w:t>
      </w:r>
      <w:proofErr w:type="gramEnd"/>
      <w:r w:rsidR="007B5A18">
        <w:t xml:space="preserve"> then the </w:t>
      </w:r>
      <w:r w:rsidR="001219DF">
        <w:t>associated stock of carbon should be recorded within the geosphere.</w:t>
      </w:r>
      <w:r w:rsidR="00994574">
        <w:t xml:space="preserve"> </w:t>
      </w:r>
    </w:p>
    <w:p w14:paraId="591D6A94" w14:textId="36029207" w:rsidR="00732152" w:rsidRDefault="00AC2D4A" w:rsidP="00EF54B4">
      <w:pPr>
        <w:pStyle w:val="Paragraph"/>
      </w:pPr>
      <w:r>
        <w:t xml:space="preserve">In terms of a more complete link to the </w:t>
      </w:r>
      <w:r w:rsidR="004B54DE">
        <w:t xml:space="preserve">scope of </w:t>
      </w:r>
      <w:r w:rsidR="005B18FD">
        <w:t>economic assets in the 2025</w:t>
      </w:r>
      <w:r w:rsidR="00FA3495">
        <w:t xml:space="preserve"> SNA</w:t>
      </w:r>
      <w:r w:rsidR="004B54DE">
        <w:t>,</w:t>
      </w:r>
      <w:r w:rsidR="005B18FD">
        <w:t xml:space="preserve"> it is noted that </w:t>
      </w:r>
      <w:r w:rsidR="007401A8">
        <w:t xml:space="preserve">carbon stored in non-produced natural resources, including </w:t>
      </w:r>
      <w:r w:rsidR="008A60D2">
        <w:t xml:space="preserve">mineral and energy resources and </w:t>
      </w:r>
      <w:r w:rsidR="007401A8">
        <w:t>land</w:t>
      </w:r>
      <w:r w:rsidR="008A60D2">
        <w:t xml:space="preserve">, </w:t>
      </w:r>
      <w:r w:rsidR="004B54DE">
        <w:t xml:space="preserve">should not be included as part of carbon in the economy but </w:t>
      </w:r>
      <w:r w:rsidR="00FB0F96">
        <w:t xml:space="preserve">as either carbon in the geosphere or the biosphere depending on the type of resource. </w:t>
      </w:r>
      <w:r w:rsidR="009606D4">
        <w:t xml:space="preserve">Note that </w:t>
      </w:r>
      <w:r w:rsidR="00FA557B">
        <w:t xml:space="preserve">in the SEEA CF all land is considered non-produced and hence outside the economy and hence the UNFCCC distinction </w:t>
      </w:r>
      <w:r w:rsidR="009606D4">
        <w:t>between managed and unmanaged land is not a relevant consideration</w:t>
      </w:r>
      <w:r w:rsidR="00FA557B">
        <w:t>.</w:t>
      </w:r>
    </w:p>
    <w:p w14:paraId="519EB141" w14:textId="51A92AD0" w:rsidR="00EF54B4" w:rsidRDefault="00EF54B4" w:rsidP="00EF54B4">
      <w:pPr>
        <w:pStyle w:val="Paragraph"/>
      </w:pPr>
      <w:r w:rsidRPr="000A3326">
        <w:lastRenderedPageBreak/>
        <w:t xml:space="preserve">Table </w:t>
      </w:r>
      <w:r w:rsidR="006A338F">
        <w:t>2</w:t>
      </w:r>
      <w:r w:rsidRPr="000A3326">
        <w:t xml:space="preserve"> below outlines a possible correspondence between the accounting frameworks. </w:t>
      </w:r>
      <w:r w:rsidR="00C50946">
        <w:t xml:space="preserve">Pending finalisation of the scope and boundary issues </w:t>
      </w:r>
      <w:r w:rsidR="0011312C">
        <w:t xml:space="preserve">described above a final correspondence can be developed. It is noted that developing </w:t>
      </w:r>
      <w:r w:rsidR="00C50C7A">
        <w:t>a clear correspondence is important to ensure appropriate interpretation of different indicators and analysis undertaken using these data.</w:t>
      </w:r>
    </w:p>
    <w:p w14:paraId="75DAC224" w14:textId="77777777" w:rsidR="00C62F3B" w:rsidRDefault="00C62F3B" w:rsidP="00C50259">
      <w:pPr>
        <w:pStyle w:val="Paragraph"/>
        <w:numPr>
          <w:ilvl w:val="0"/>
          <w:numId w:val="0"/>
        </w:numPr>
        <w:ind w:left="714" w:hanging="357"/>
        <w:rPr>
          <w:lang w:val="en-GB"/>
        </w:rPr>
      </w:pPr>
    </w:p>
    <w:p w14:paraId="4EA9E624" w14:textId="3D5ADDBF" w:rsidR="000E227B" w:rsidRDefault="000E227B" w:rsidP="00562ED5">
      <w:pPr>
        <w:pStyle w:val="Paragraph"/>
        <w:numPr>
          <w:ilvl w:val="0"/>
          <w:numId w:val="0"/>
        </w:numPr>
        <w:ind w:left="-73"/>
        <w:sectPr w:rsidR="000E227B" w:rsidSect="00EF54B4">
          <w:footerReference w:type="even" r:id="rId13"/>
          <w:footerReference w:type="default" r:id="rId14"/>
          <w:headerReference w:type="first" r:id="rId15"/>
          <w:footerReference w:type="first" r:id="rId16"/>
          <w:pgSz w:w="12240" w:h="15840"/>
          <w:pgMar w:top="1440" w:right="1080" w:bottom="1620" w:left="1080" w:header="720" w:footer="720" w:gutter="0"/>
          <w:cols w:space="720"/>
          <w:titlePg/>
          <w:docGrid w:linePitch="360"/>
        </w:sectPr>
      </w:pPr>
    </w:p>
    <w:p w14:paraId="66EEC92B" w14:textId="77777777" w:rsidR="00EF54B4" w:rsidRDefault="00EF54B4" w:rsidP="00EF54B4">
      <w:pPr>
        <w:pStyle w:val="Paragraph"/>
        <w:numPr>
          <w:ilvl w:val="0"/>
          <w:numId w:val="0"/>
        </w:numPr>
        <w:ind w:left="284" w:hanging="357"/>
      </w:pPr>
    </w:p>
    <w:tbl>
      <w:tblPr>
        <w:tblW w:w="11960" w:type="dxa"/>
        <w:tblLook w:val="04A0" w:firstRow="1" w:lastRow="0" w:firstColumn="1" w:lastColumn="0" w:noHBand="0" w:noVBand="1"/>
      </w:tblPr>
      <w:tblGrid>
        <w:gridCol w:w="1705"/>
        <w:gridCol w:w="4935"/>
        <w:gridCol w:w="1200"/>
        <w:gridCol w:w="2320"/>
        <w:gridCol w:w="1800"/>
      </w:tblGrid>
      <w:tr w:rsidR="00EF54B4" w:rsidRPr="005014EF" w14:paraId="72F9C3AC" w14:textId="77777777" w:rsidTr="00151F26">
        <w:trPr>
          <w:trHeight w:val="290"/>
        </w:trPr>
        <w:tc>
          <w:tcPr>
            <w:tcW w:w="6640" w:type="dxa"/>
            <w:gridSpan w:val="2"/>
            <w:tcBorders>
              <w:top w:val="nil"/>
              <w:left w:val="nil"/>
              <w:bottom w:val="single" w:sz="8" w:space="0" w:color="auto"/>
              <w:right w:val="nil"/>
            </w:tcBorders>
            <w:noWrap/>
            <w:vAlign w:val="center"/>
            <w:hideMark/>
          </w:tcPr>
          <w:p w14:paraId="71A86B82" w14:textId="61F9C140" w:rsidR="00EF54B4" w:rsidRPr="00E2226D" w:rsidRDefault="00EF54B4" w:rsidP="00151F26">
            <w:pPr>
              <w:rPr>
                <w:rFonts w:ascii="Aptos Narrow" w:hAnsi="Aptos Narrow"/>
                <w:b/>
                <w:bCs/>
                <w:color w:val="424242"/>
                <w:sz w:val="18"/>
                <w:szCs w:val="18"/>
                <w:lang w:val="en-US"/>
              </w:rPr>
            </w:pPr>
            <w:r w:rsidRPr="00E2226D">
              <w:rPr>
                <w:rFonts w:ascii="Aptos Narrow" w:hAnsi="Aptos Narrow"/>
                <w:b/>
                <w:bCs/>
                <w:color w:val="424242"/>
                <w:sz w:val="18"/>
                <w:szCs w:val="18"/>
                <w:lang w:val="en-US"/>
              </w:rPr>
              <w:t xml:space="preserve">Table </w:t>
            </w:r>
            <w:r w:rsidR="006A338F">
              <w:rPr>
                <w:rFonts w:ascii="Aptos Narrow" w:hAnsi="Aptos Narrow"/>
                <w:b/>
                <w:bCs/>
                <w:color w:val="424242"/>
                <w:sz w:val="18"/>
                <w:szCs w:val="18"/>
                <w:lang w:val="en-US"/>
              </w:rPr>
              <w:t>2</w:t>
            </w:r>
          </w:p>
          <w:p w14:paraId="653141DA" w14:textId="40477241" w:rsidR="00EF54B4" w:rsidRPr="005014EF" w:rsidRDefault="00EF54B4" w:rsidP="00151F26">
            <w:pPr>
              <w:rPr>
                <w:rFonts w:ascii="Aptos Narrow" w:hAnsi="Aptos Narrow"/>
                <w:b/>
                <w:bCs/>
                <w:color w:val="424242"/>
                <w:sz w:val="18"/>
                <w:szCs w:val="18"/>
                <w:lang w:val="en-US"/>
              </w:rPr>
            </w:pPr>
            <w:r w:rsidRPr="005014EF">
              <w:rPr>
                <w:rFonts w:ascii="Aptos Narrow" w:hAnsi="Aptos Narrow"/>
                <w:b/>
                <w:bCs/>
                <w:color w:val="424242"/>
                <w:sz w:val="18"/>
                <w:szCs w:val="18"/>
                <w:lang w:val="en-US"/>
              </w:rPr>
              <w:t xml:space="preserve">Main </w:t>
            </w:r>
            <w:r w:rsidR="007C361B">
              <w:rPr>
                <w:rFonts w:ascii="Aptos Narrow" w:hAnsi="Aptos Narrow"/>
                <w:b/>
                <w:bCs/>
                <w:color w:val="424242"/>
                <w:sz w:val="18"/>
                <w:szCs w:val="18"/>
                <w:lang w:val="en-US"/>
              </w:rPr>
              <w:t>c</w:t>
            </w:r>
            <w:r w:rsidRPr="005014EF">
              <w:rPr>
                <w:rFonts w:ascii="Aptos Narrow" w:hAnsi="Aptos Narrow"/>
                <w:b/>
                <w:bCs/>
                <w:color w:val="424242"/>
                <w:sz w:val="18"/>
                <w:szCs w:val="18"/>
                <w:lang w:val="en-US"/>
              </w:rPr>
              <w:t>omponent</w:t>
            </w:r>
            <w:r w:rsidR="007C361B">
              <w:rPr>
                <w:rFonts w:ascii="Aptos Narrow" w:hAnsi="Aptos Narrow"/>
                <w:b/>
                <w:bCs/>
                <w:color w:val="424242"/>
                <w:sz w:val="18"/>
                <w:szCs w:val="18"/>
                <w:lang w:val="en-US"/>
              </w:rPr>
              <w:t>s</w:t>
            </w:r>
            <w:r w:rsidR="00C50C7A">
              <w:rPr>
                <w:rFonts w:ascii="Aptos Narrow" w:hAnsi="Aptos Narrow"/>
                <w:b/>
                <w:bCs/>
                <w:color w:val="424242"/>
                <w:sz w:val="18"/>
                <w:szCs w:val="18"/>
                <w:lang w:val="en-US"/>
              </w:rPr>
              <w:t xml:space="preserve"> of carbon in the economy</w:t>
            </w:r>
            <w:r w:rsidRPr="005014EF">
              <w:rPr>
                <w:rFonts w:ascii="Aptos Narrow" w:hAnsi="Aptos Narrow"/>
                <w:color w:val="424242"/>
                <w:sz w:val="18"/>
                <w:szCs w:val="18"/>
                <w:lang w:val="en-US"/>
              </w:rPr>
              <w:t>:</w:t>
            </w:r>
          </w:p>
        </w:tc>
        <w:tc>
          <w:tcPr>
            <w:tcW w:w="1200" w:type="dxa"/>
            <w:tcBorders>
              <w:top w:val="nil"/>
              <w:left w:val="nil"/>
              <w:bottom w:val="single" w:sz="8" w:space="0" w:color="auto"/>
              <w:right w:val="nil"/>
            </w:tcBorders>
            <w:noWrap/>
            <w:vAlign w:val="bottom"/>
            <w:hideMark/>
          </w:tcPr>
          <w:p w14:paraId="2DB82A21" w14:textId="77777777" w:rsidR="00EF54B4" w:rsidRPr="005014EF" w:rsidRDefault="00EF54B4" w:rsidP="00151F26">
            <w:pPr>
              <w:jc w:val="center"/>
              <w:rPr>
                <w:rFonts w:ascii="Aptos Narrow" w:hAnsi="Aptos Narrow"/>
                <w:color w:val="000000"/>
                <w:sz w:val="22"/>
                <w:szCs w:val="22"/>
                <w:lang w:val="en-US"/>
              </w:rPr>
            </w:pPr>
            <w:r w:rsidRPr="005014EF">
              <w:rPr>
                <w:rFonts w:ascii="Aptos Narrow" w:hAnsi="Aptos Narrow"/>
                <w:color w:val="000000"/>
                <w:sz w:val="22"/>
                <w:szCs w:val="22"/>
                <w:lang w:val="en-US"/>
              </w:rPr>
              <w:t>SNA</w:t>
            </w:r>
          </w:p>
        </w:tc>
        <w:tc>
          <w:tcPr>
            <w:tcW w:w="2320" w:type="dxa"/>
            <w:tcBorders>
              <w:top w:val="nil"/>
              <w:left w:val="nil"/>
              <w:bottom w:val="single" w:sz="8" w:space="0" w:color="auto"/>
              <w:right w:val="nil"/>
            </w:tcBorders>
            <w:noWrap/>
            <w:vAlign w:val="bottom"/>
            <w:hideMark/>
          </w:tcPr>
          <w:p w14:paraId="0D34F6FA" w14:textId="77777777" w:rsidR="00EF54B4" w:rsidRPr="005014EF" w:rsidRDefault="00EF54B4" w:rsidP="00151F26">
            <w:pPr>
              <w:jc w:val="center"/>
              <w:rPr>
                <w:rFonts w:ascii="Aptos Narrow" w:hAnsi="Aptos Narrow"/>
                <w:color w:val="000000"/>
                <w:sz w:val="22"/>
                <w:szCs w:val="22"/>
                <w:lang w:val="en-US"/>
              </w:rPr>
            </w:pPr>
            <w:r w:rsidRPr="005014EF">
              <w:rPr>
                <w:rFonts w:ascii="Aptos Narrow" w:hAnsi="Aptos Narrow"/>
                <w:color w:val="000000"/>
                <w:sz w:val="22"/>
                <w:szCs w:val="22"/>
                <w:lang w:val="en-US"/>
              </w:rPr>
              <w:t>SEEA-CF 2028</w:t>
            </w:r>
          </w:p>
        </w:tc>
        <w:tc>
          <w:tcPr>
            <w:tcW w:w="1800" w:type="dxa"/>
            <w:tcBorders>
              <w:top w:val="nil"/>
              <w:left w:val="nil"/>
              <w:bottom w:val="nil"/>
              <w:right w:val="nil"/>
            </w:tcBorders>
            <w:noWrap/>
            <w:vAlign w:val="bottom"/>
            <w:hideMark/>
          </w:tcPr>
          <w:p w14:paraId="43F39722" w14:textId="77777777" w:rsidR="00EF54B4" w:rsidRPr="005014EF" w:rsidRDefault="00EF54B4" w:rsidP="00151F26">
            <w:pPr>
              <w:rPr>
                <w:rFonts w:ascii="Aptos Narrow" w:hAnsi="Aptos Narrow"/>
                <w:color w:val="000000"/>
                <w:sz w:val="22"/>
                <w:szCs w:val="22"/>
                <w:lang w:val="en-US"/>
              </w:rPr>
            </w:pPr>
            <w:r w:rsidRPr="005014EF">
              <w:rPr>
                <w:rFonts w:ascii="Aptos Narrow" w:hAnsi="Aptos Narrow"/>
                <w:color w:val="000000"/>
                <w:sz w:val="22"/>
                <w:szCs w:val="22"/>
                <w:lang w:val="en-US"/>
              </w:rPr>
              <w:t>SEEA-EA</w:t>
            </w:r>
          </w:p>
        </w:tc>
      </w:tr>
      <w:tr w:rsidR="00EF54B4" w:rsidRPr="005014EF" w14:paraId="7E06B60F" w14:textId="77777777" w:rsidTr="00151F26">
        <w:trPr>
          <w:trHeight w:val="1180"/>
        </w:trPr>
        <w:tc>
          <w:tcPr>
            <w:tcW w:w="1705" w:type="dxa"/>
            <w:tcBorders>
              <w:top w:val="nil"/>
              <w:left w:val="single" w:sz="4" w:space="0" w:color="auto"/>
              <w:bottom w:val="single" w:sz="4" w:space="0" w:color="auto"/>
              <w:right w:val="single" w:sz="4" w:space="0" w:color="auto"/>
            </w:tcBorders>
            <w:noWrap/>
            <w:vAlign w:val="center"/>
            <w:hideMark/>
          </w:tcPr>
          <w:p w14:paraId="72D492E5" w14:textId="77777777" w:rsidR="00EF54B4" w:rsidRPr="005014EF" w:rsidRDefault="00EF54B4" w:rsidP="00151F26">
            <w:pPr>
              <w:rPr>
                <w:rFonts w:ascii="Aptos Narrow" w:hAnsi="Aptos Narrow"/>
                <w:b/>
                <w:bCs/>
                <w:color w:val="424242"/>
                <w:sz w:val="18"/>
                <w:szCs w:val="18"/>
                <w:lang w:val="en-US"/>
              </w:rPr>
            </w:pPr>
            <w:r w:rsidRPr="005014EF">
              <w:rPr>
                <w:rFonts w:ascii="Aptos Narrow" w:hAnsi="Aptos Narrow"/>
                <w:b/>
                <w:bCs/>
                <w:color w:val="424242"/>
                <w:sz w:val="18"/>
                <w:szCs w:val="18"/>
                <w:lang w:val="en-US"/>
              </w:rPr>
              <w:t>Consumption goods</w:t>
            </w:r>
          </w:p>
        </w:tc>
        <w:tc>
          <w:tcPr>
            <w:tcW w:w="4935" w:type="dxa"/>
            <w:tcBorders>
              <w:top w:val="nil"/>
              <w:left w:val="nil"/>
              <w:bottom w:val="single" w:sz="4" w:space="0" w:color="auto"/>
              <w:right w:val="single" w:sz="4" w:space="0" w:color="auto"/>
            </w:tcBorders>
            <w:noWrap/>
            <w:vAlign w:val="center"/>
            <w:hideMark/>
          </w:tcPr>
          <w:p w14:paraId="60144D4E" w14:textId="7FC8612E" w:rsidR="00EF54B4" w:rsidRPr="005014EF" w:rsidRDefault="005B69F0" w:rsidP="00151F26">
            <w:pPr>
              <w:rPr>
                <w:rFonts w:ascii="Aptos Narrow" w:hAnsi="Aptos Narrow"/>
                <w:color w:val="424242"/>
                <w:sz w:val="16"/>
                <w:szCs w:val="16"/>
                <w:lang w:val="en-US"/>
              </w:rPr>
            </w:pPr>
            <w:r>
              <w:rPr>
                <w:rFonts w:ascii="Aptos Narrow" w:hAnsi="Aptos Narrow"/>
                <w:color w:val="424242"/>
                <w:sz w:val="16"/>
                <w:szCs w:val="16"/>
                <w:lang w:val="en-US"/>
              </w:rPr>
              <w:t>Consumer d</w:t>
            </w:r>
            <w:r w:rsidR="00EF54B4" w:rsidRPr="005014EF">
              <w:rPr>
                <w:rFonts w:ascii="Aptos Narrow" w:hAnsi="Aptos Narrow"/>
                <w:color w:val="424242"/>
                <w:sz w:val="16"/>
                <w:szCs w:val="16"/>
                <w:lang w:val="en-US"/>
              </w:rPr>
              <w:t>urables</w:t>
            </w:r>
          </w:p>
        </w:tc>
        <w:tc>
          <w:tcPr>
            <w:tcW w:w="1200" w:type="dxa"/>
            <w:tcBorders>
              <w:top w:val="nil"/>
              <w:left w:val="nil"/>
              <w:bottom w:val="single" w:sz="4" w:space="0" w:color="auto"/>
              <w:right w:val="single" w:sz="4" w:space="0" w:color="auto"/>
              <w:tl2br w:val="single" w:sz="4" w:space="0" w:color="auto"/>
              <w:tr2bl w:val="single" w:sz="4" w:space="0" w:color="auto"/>
            </w:tcBorders>
            <w:shd w:val="clear" w:color="000000" w:fill="D9D9D9"/>
            <w:vAlign w:val="center"/>
            <w:hideMark/>
          </w:tcPr>
          <w:p w14:paraId="05E69BC1" w14:textId="77777777" w:rsidR="00EF54B4" w:rsidRPr="005014EF" w:rsidRDefault="00EF54B4" w:rsidP="00151F26">
            <w:pPr>
              <w:rPr>
                <w:rFonts w:ascii="Aptos Narrow" w:hAnsi="Aptos Narrow"/>
                <w:color w:val="424242"/>
                <w:sz w:val="16"/>
                <w:szCs w:val="16"/>
                <w:lang w:val="en-US"/>
              </w:rPr>
            </w:pPr>
            <w:r w:rsidRPr="005014EF">
              <w:rPr>
                <w:rFonts w:ascii="Aptos Narrow" w:hAnsi="Aptos Narrow"/>
                <w:color w:val="424242"/>
                <w:sz w:val="16"/>
                <w:szCs w:val="16"/>
                <w:lang w:val="en-US"/>
              </w:rPr>
              <w:t> </w:t>
            </w:r>
          </w:p>
        </w:tc>
        <w:tc>
          <w:tcPr>
            <w:tcW w:w="2320" w:type="dxa"/>
            <w:vMerge w:val="restart"/>
            <w:tcBorders>
              <w:top w:val="nil"/>
              <w:left w:val="single" w:sz="4" w:space="0" w:color="auto"/>
              <w:bottom w:val="single" w:sz="4" w:space="0" w:color="000000"/>
              <w:right w:val="single" w:sz="4" w:space="0" w:color="auto"/>
            </w:tcBorders>
            <w:shd w:val="clear" w:color="000000" w:fill="4D93D9"/>
            <w:vAlign w:val="center"/>
            <w:hideMark/>
          </w:tcPr>
          <w:p w14:paraId="7AF1FC99" w14:textId="77777777" w:rsidR="00EF54B4" w:rsidRPr="005014EF" w:rsidRDefault="00EF54B4" w:rsidP="00151F26">
            <w:pPr>
              <w:jc w:val="center"/>
              <w:rPr>
                <w:rFonts w:ascii="Aptos Narrow" w:hAnsi="Aptos Narrow"/>
                <w:color w:val="000000"/>
                <w:sz w:val="36"/>
                <w:szCs w:val="36"/>
                <w:lang w:val="en-US"/>
              </w:rPr>
            </w:pPr>
            <w:r w:rsidRPr="005014EF">
              <w:rPr>
                <w:rFonts w:ascii="Aptos Narrow" w:hAnsi="Aptos Narrow"/>
                <w:color w:val="000000"/>
                <w:sz w:val="36"/>
                <w:szCs w:val="36"/>
                <w:lang w:val="en-US"/>
              </w:rPr>
              <w:t>carbon in anthropogenic products</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0747058" w14:textId="77777777" w:rsidR="00EF54B4" w:rsidRPr="005014EF" w:rsidRDefault="00EF54B4" w:rsidP="00151F26">
            <w:pPr>
              <w:rPr>
                <w:rFonts w:ascii="Aptos Narrow" w:hAnsi="Aptos Narrow"/>
                <w:color w:val="000000"/>
                <w:sz w:val="22"/>
                <w:szCs w:val="22"/>
                <w:lang w:val="en-US"/>
              </w:rPr>
            </w:pPr>
            <w:r w:rsidRPr="005014EF">
              <w:rPr>
                <w:rFonts w:ascii="Aptos Narrow" w:hAnsi="Aptos Narrow"/>
                <w:color w:val="000000"/>
                <w:sz w:val="22"/>
                <w:szCs w:val="22"/>
                <w:lang w:val="en-US"/>
              </w:rPr>
              <w:t>carbon accumulated in the economy</w:t>
            </w:r>
          </w:p>
        </w:tc>
      </w:tr>
      <w:tr w:rsidR="00EF54B4" w:rsidRPr="005014EF" w14:paraId="63F0D5BC" w14:textId="77777777" w:rsidTr="00151F26">
        <w:trPr>
          <w:trHeight w:val="1150"/>
        </w:trPr>
        <w:tc>
          <w:tcPr>
            <w:tcW w:w="1705" w:type="dxa"/>
            <w:vMerge w:val="restart"/>
            <w:tcBorders>
              <w:top w:val="nil"/>
              <w:left w:val="single" w:sz="4" w:space="0" w:color="auto"/>
              <w:bottom w:val="single" w:sz="4" w:space="0" w:color="auto"/>
              <w:right w:val="single" w:sz="4" w:space="0" w:color="auto"/>
            </w:tcBorders>
            <w:noWrap/>
            <w:vAlign w:val="center"/>
            <w:hideMark/>
          </w:tcPr>
          <w:p w14:paraId="62835256" w14:textId="77777777" w:rsidR="00EF54B4" w:rsidRPr="005014EF" w:rsidRDefault="00EF54B4" w:rsidP="00151F26">
            <w:pPr>
              <w:rPr>
                <w:rFonts w:ascii="Aptos Narrow" w:hAnsi="Aptos Narrow"/>
                <w:b/>
                <w:bCs/>
                <w:color w:val="424242"/>
                <w:sz w:val="18"/>
                <w:szCs w:val="18"/>
                <w:lang w:val="en-US"/>
              </w:rPr>
            </w:pPr>
            <w:r w:rsidRPr="005014EF">
              <w:rPr>
                <w:rFonts w:ascii="Aptos Narrow" w:hAnsi="Aptos Narrow"/>
                <w:b/>
                <w:bCs/>
                <w:color w:val="424242"/>
                <w:sz w:val="18"/>
                <w:szCs w:val="18"/>
                <w:lang w:val="en-US"/>
              </w:rPr>
              <w:t>Economic Capital</w:t>
            </w:r>
          </w:p>
        </w:tc>
        <w:tc>
          <w:tcPr>
            <w:tcW w:w="4935" w:type="dxa"/>
            <w:tcBorders>
              <w:top w:val="nil"/>
              <w:left w:val="nil"/>
              <w:bottom w:val="single" w:sz="4" w:space="0" w:color="auto"/>
              <w:right w:val="single" w:sz="4" w:space="0" w:color="auto"/>
            </w:tcBorders>
            <w:noWrap/>
            <w:vAlign w:val="center"/>
            <w:hideMark/>
          </w:tcPr>
          <w:p w14:paraId="62FA94DE" w14:textId="77777777" w:rsidR="00EF54B4" w:rsidRPr="005014EF" w:rsidRDefault="00EF54B4" w:rsidP="00151F26">
            <w:pPr>
              <w:rPr>
                <w:rFonts w:ascii="Aptos Narrow" w:hAnsi="Aptos Narrow"/>
                <w:color w:val="424242"/>
                <w:sz w:val="16"/>
                <w:szCs w:val="16"/>
                <w:lang w:val="en-US"/>
              </w:rPr>
            </w:pPr>
            <w:r w:rsidRPr="005014EF">
              <w:rPr>
                <w:rFonts w:ascii="Aptos Narrow" w:hAnsi="Aptos Narrow"/>
                <w:color w:val="424242"/>
                <w:sz w:val="16"/>
                <w:szCs w:val="16"/>
                <w:lang w:val="en-US"/>
              </w:rPr>
              <w:t>Produced non-financial assets (excluding natural resources)</w:t>
            </w:r>
          </w:p>
        </w:tc>
        <w:tc>
          <w:tcPr>
            <w:tcW w:w="1200" w:type="dxa"/>
            <w:vMerge w:val="restart"/>
            <w:tcBorders>
              <w:top w:val="nil"/>
              <w:left w:val="single" w:sz="4" w:space="0" w:color="auto"/>
              <w:bottom w:val="single" w:sz="4" w:space="0" w:color="000000"/>
              <w:right w:val="single" w:sz="4" w:space="0" w:color="auto"/>
            </w:tcBorders>
            <w:vAlign w:val="center"/>
            <w:hideMark/>
          </w:tcPr>
          <w:p w14:paraId="422DEA81" w14:textId="77777777" w:rsidR="00EF54B4" w:rsidRPr="005014EF" w:rsidRDefault="00EF54B4" w:rsidP="00151F26">
            <w:pPr>
              <w:jc w:val="center"/>
              <w:rPr>
                <w:rFonts w:ascii="Aptos Narrow" w:hAnsi="Aptos Narrow"/>
                <w:color w:val="424242"/>
                <w:sz w:val="16"/>
                <w:szCs w:val="16"/>
                <w:lang w:val="en-US"/>
              </w:rPr>
            </w:pPr>
            <w:r w:rsidRPr="005014EF">
              <w:rPr>
                <w:rFonts w:ascii="Aptos Narrow" w:hAnsi="Aptos Narrow"/>
                <w:color w:val="424242"/>
                <w:sz w:val="16"/>
                <w:szCs w:val="16"/>
                <w:lang w:val="en-US"/>
              </w:rPr>
              <w:t>Assets in the integrated framework of national accounts.</w:t>
            </w:r>
          </w:p>
        </w:tc>
        <w:tc>
          <w:tcPr>
            <w:tcW w:w="2320" w:type="dxa"/>
            <w:vMerge/>
            <w:tcBorders>
              <w:top w:val="nil"/>
              <w:left w:val="single" w:sz="4" w:space="0" w:color="auto"/>
              <w:bottom w:val="single" w:sz="4" w:space="0" w:color="000000"/>
              <w:right w:val="single" w:sz="4" w:space="0" w:color="auto"/>
            </w:tcBorders>
            <w:vAlign w:val="center"/>
            <w:hideMark/>
          </w:tcPr>
          <w:p w14:paraId="768A393E" w14:textId="77777777" w:rsidR="00EF54B4" w:rsidRPr="005014EF" w:rsidRDefault="00EF54B4" w:rsidP="00151F26">
            <w:pPr>
              <w:rPr>
                <w:rFonts w:ascii="Aptos Narrow" w:hAnsi="Aptos Narrow"/>
                <w:color w:val="000000"/>
                <w:sz w:val="36"/>
                <w:szCs w:val="36"/>
                <w:lang w:val="en-US"/>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FC2EC52" w14:textId="77777777" w:rsidR="00EF54B4" w:rsidRPr="005014EF" w:rsidRDefault="00EF54B4" w:rsidP="00151F26">
            <w:pPr>
              <w:rPr>
                <w:rFonts w:ascii="Aptos Narrow" w:hAnsi="Aptos Narrow"/>
                <w:color w:val="000000"/>
                <w:sz w:val="22"/>
                <w:szCs w:val="22"/>
                <w:lang w:val="en-US"/>
              </w:rPr>
            </w:pPr>
          </w:p>
        </w:tc>
      </w:tr>
      <w:tr w:rsidR="00EF54B4" w:rsidRPr="005014EF" w14:paraId="27FD9A95" w14:textId="77777777" w:rsidTr="00151F26">
        <w:trPr>
          <w:trHeight w:val="290"/>
        </w:trPr>
        <w:tc>
          <w:tcPr>
            <w:tcW w:w="1705" w:type="dxa"/>
            <w:vMerge/>
            <w:tcBorders>
              <w:top w:val="nil"/>
              <w:left w:val="single" w:sz="4" w:space="0" w:color="auto"/>
              <w:bottom w:val="single" w:sz="4" w:space="0" w:color="auto"/>
              <w:right w:val="single" w:sz="4" w:space="0" w:color="auto"/>
            </w:tcBorders>
            <w:vAlign w:val="center"/>
            <w:hideMark/>
          </w:tcPr>
          <w:p w14:paraId="2944863C" w14:textId="77777777" w:rsidR="00EF54B4" w:rsidRPr="005014EF" w:rsidRDefault="00EF54B4" w:rsidP="00151F26">
            <w:pPr>
              <w:rPr>
                <w:rFonts w:ascii="Aptos Narrow" w:hAnsi="Aptos Narrow"/>
                <w:b/>
                <w:bCs/>
                <w:color w:val="424242"/>
                <w:sz w:val="18"/>
                <w:szCs w:val="18"/>
                <w:lang w:val="en-US"/>
              </w:rPr>
            </w:pPr>
          </w:p>
        </w:tc>
        <w:tc>
          <w:tcPr>
            <w:tcW w:w="4935"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44DE65B7" w14:textId="77777777" w:rsidR="00EF54B4" w:rsidRPr="005014EF" w:rsidRDefault="00EF54B4" w:rsidP="00151F26">
            <w:pPr>
              <w:rPr>
                <w:rFonts w:ascii="Aptos Narrow" w:hAnsi="Aptos Narrow"/>
                <w:color w:val="424242"/>
                <w:sz w:val="16"/>
                <w:szCs w:val="16"/>
                <w:lang w:val="en-US"/>
              </w:rPr>
            </w:pPr>
            <w:r w:rsidRPr="005014EF">
              <w:rPr>
                <w:rFonts w:ascii="Aptos Narrow" w:hAnsi="Aptos Narrow"/>
                <w:color w:val="424242"/>
                <w:sz w:val="16"/>
                <w:szCs w:val="16"/>
                <w:lang w:val="en-US"/>
              </w:rPr>
              <w:t>Non-produced non-financial assets (excluding natural resources)</w:t>
            </w:r>
          </w:p>
        </w:tc>
        <w:tc>
          <w:tcPr>
            <w:tcW w:w="1200" w:type="dxa"/>
            <w:vMerge/>
            <w:tcBorders>
              <w:top w:val="nil"/>
              <w:left w:val="single" w:sz="4" w:space="0" w:color="auto"/>
              <w:bottom w:val="single" w:sz="4" w:space="0" w:color="000000"/>
              <w:right w:val="single" w:sz="4" w:space="0" w:color="auto"/>
            </w:tcBorders>
            <w:vAlign w:val="center"/>
            <w:hideMark/>
          </w:tcPr>
          <w:p w14:paraId="22F106FB" w14:textId="77777777" w:rsidR="00EF54B4" w:rsidRPr="005014EF" w:rsidRDefault="00EF54B4" w:rsidP="00151F26">
            <w:pPr>
              <w:rPr>
                <w:rFonts w:ascii="Aptos Narrow" w:hAnsi="Aptos Narrow"/>
                <w:color w:val="424242"/>
                <w:sz w:val="16"/>
                <w:szCs w:val="16"/>
                <w:lang w:val="en-US"/>
              </w:rPr>
            </w:pPr>
          </w:p>
        </w:tc>
        <w:tc>
          <w:tcPr>
            <w:tcW w:w="2320" w:type="dxa"/>
            <w:vMerge/>
            <w:tcBorders>
              <w:top w:val="nil"/>
              <w:left w:val="single" w:sz="4" w:space="0" w:color="auto"/>
              <w:bottom w:val="single" w:sz="4" w:space="0" w:color="000000"/>
              <w:right w:val="single" w:sz="4" w:space="0" w:color="auto"/>
            </w:tcBorders>
            <w:vAlign w:val="center"/>
            <w:hideMark/>
          </w:tcPr>
          <w:p w14:paraId="13A59B6F" w14:textId="77777777" w:rsidR="00EF54B4" w:rsidRPr="005014EF" w:rsidRDefault="00EF54B4" w:rsidP="00151F26">
            <w:pPr>
              <w:rPr>
                <w:rFonts w:ascii="Aptos Narrow" w:hAnsi="Aptos Narrow"/>
                <w:color w:val="000000"/>
                <w:sz w:val="36"/>
                <w:szCs w:val="36"/>
                <w:lang w:val="en-US"/>
              </w:rPr>
            </w:pP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5348B968" w14:textId="77777777" w:rsidR="00EF54B4" w:rsidRPr="005014EF" w:rsidRDefault="00EF54B4" w:rsidP="00151F26">
            <w:pPr>
              <w:rPr>
                <w:rFonts w:ascii="Aptos Narrow" w:hAnsi="Aptos Narrow"/>
                <w:color w:val="000000"/>
                <w:sz w:val="22"/>
                <w:szCs w:val="22"/>
                <w:lang w:val="en-US"/>
              </w:rPr>
            </w:pPr>
          </w:p>
        </w:tc>
      </w:tr>
      <w:tr w:rsidR="00EF54B4" w:rsidRPr="005014EF" w14:paraId="059D1ABF" w14:textId="77777777" w:rsidTr="00151F26">
        <w:trPr>
          <w:trHeight w:val="290"/>
        </w:trPr>
        <w:tc>
          <w:tcPr>
            <w:tcW w:w="1705" w:type="dxa"/>
            <w:vMerge/>
            <w:tcBorders>
              <w:top w:val="nil"/>
              <w:left w:val="single" w:sz="4" w:space="0" w:color="auto"/>
              <w:bottom w:val="single" w:sz="4" w:space="0" w:color="auto"/>
              <w:right w:val="single" w:sz="4" w:space="0" w:color="auto"/>
            </w:tcBorders>
            <w:vAlign w:val="center"/>
            <w:hideMark/>
          </w:tcPr>
          <w:p w14:paraId="47200AC3" w14:textId="77777777" w:rsidR="00EF54B4" w:rsidRPr="005014EF" w:rsidRDefault="00EF54B4" w:rsidP="00151F26">
            <w:pPr>
              <w:rPr>
                <w:rFonts w:ascii="Aptos Narrow" w:hAnsi="Aptos Narrow"/>
                <w:b/>
                <w:bCs/>
                <w:color w:val="424242"/>
                <w:sz w:val="18"/>
                <w:szCs w:val="18"/>
                <w:lang w:val="en-US"/>
              </w:rPr>
            </w:pPr>
          </w:p>
        </w:tc>
        <w:tc>
          <w:tcPr>
            <w:tcW w:w="4935" w:type="dxa"/>
            <w:tcBorders>
              <w:top w:val="nil"/>
              <w:left w:val="nil"/>
              <w:bottom w:val="single" w:sz="4" w:space="0" w:color="auto"/>
              <w:right w:val="single" w:sz="4" w:space="0" w:color="auto"/>
              <w:tl2br w:val="single" w:sz="4" w:space="0" w:color="auto"/>
              <w:tr2bl w:val="single" w:sz="4" w:space="0" w:color="auto"/>
            </w:tcBorders>
            <w:noWrap/>
            <w:vAlign w:val="center"/>
            <w:hideMark/>
          </w:tcPr>
          <w:p w14:paraId="3349C35E" w14:textId="77777777" w:rsidR="00EF54B4" w:rsidRPr="005014EF" w:rsidRDefault="00EF54B4" w:rsidP="00151F26">
            <w:pPr>
              <w:rPr>
                <w:rFonts w:ascii="Aptos Narrow" w:hAnsi="Aptos Narrow"/>
                <w:color w:val="424242"/>
                <w:sz w:val="16"/>
                <w:szCs w:val="16"/>
                <w:lang w:val="en-US"/>
              </w:rPr>
            </w:pPr>
            <w:r w:rsidRPr="005014EF">
              <w:rPr>
                <w:rFonts w:ascii="Aptos Narrow" w:hAnsi="Aptos Narrow"/>
                <w:color w:val="424242"/>
                <w:sz w:val="16"/>
                <w:szCs w:val="16"/>
                <w:lang w:val="en-US"/>
              </w:rPr>
              <w:t>Financial assets and liabilities</w:t>
            </w:r>
          </w:p>
        </w:tc>
        <w:tc>
          <w:tcPr>
            <w:tcW w:w="1200" w:type="dxa"/>
            <w:vMerge/>
            <w:tcBorders>
              <w:top w:val="nil"/>
              <w:left w:val="single" w:sz="4" w:space="0" w:color="auto"/>
              <w:bottom w:val="single" w:sz="4" w:space="0" w:color="000000"/>
              <w:right w:val="single" w:sz="4" w:space="0" w:color="auto"/>
            </w:tcBorders>
            <w:vAlign w:val="center"/>
            <w:hideMark/>
          </w:tcPr>
          <w:p w14:paraId="2FD8AF89" w14:textId="77777777" w:rsidR="00EF54B4" w:rsidRPr="005014EF" w:rsidRDefault="00EF54B4" w:rsidP="00151F26">
            <w:pPr>
              <w:rPr>
                <w:rFonts w:ascii="Aptos Narrow" w:hAnsi="Aptos Narrow"/>
                <w:color w:val="424242"/>
                <w:sz w:val="16"/>
                <w:szCs w:val="16"/>
                <w:lang w:val="en-US"/>
              </w:rPr>
            </w:pPr>
          </w:p>
        </w:tc>
        <w:tc>
          <w:tcPr>
            <w:tcW w:w="4120" w:type="dxa"/>
            <w:gridSpan w:val="2"/>
            <w:tcBorders>
              <w:top w:val="single" w:sz="4" w:space="0" w:color="auto"/>
              <w:left w:val="nil"/>
              <w:bottom w:val="single" w:sz="4" w:space="0" w:color="auto"/>
              <w:right w:val="single" w:sz="4" w:space="0" w:color="000000"/>
              <w:tl2br w:val="single" w:sz="4" w:space="0" w:color="auto"/>
              <w:tr2bl w:val="single" w:sz="4" w:space="0" w:color="auto"/>
            </w:tcBorders>
            <w:shd w:val="clear" w:color="000000" w:fill="D9D9D9"/>
            <w:noWrap/>
            <w:vAlign w:val="center"/>
            <w:hideMark/>
          </w:tcPr>
          <w:p w14:paraId="26D2F210" w14:textId="77777777" w:rsidR="00EF54B4" w:rsidRPr="005014EF" w:rsidRDefault="00EF54B4" w:rsidP="00151F26">
            <w:pPr>
              <w:jc w:val="center"/>
              <w:rPr>
                <w:rFonts w:ascii="Aptos Narrow" w:hAnsi="Aptos Narrow"/>
                <w:color w:val="000000"/>
                <w:sz w:val="36"/>
                <w:szCs w:val="36"/>
                <w:lang w:val="en-US"/>
              </w:rPr>
            </w:pPr>
            <w:r w:rsidRPr="005014EF">
              <w:rPr>
                <w:rFonts w:ascii="Aptos Narrow" w:hAnsi="Aptos Narrow"/>
                <w:color w:val="000000"/>
                <w:sz w:val="36"/>
                <w:szCs w:val="36"/>
                <w:lang w:val="en-US"/>
              </w:rPr>
              <w:t> </w:t>
            </w:r>
          </w:p>
        </w:tc>
      </w:tr>
      <w:tr w:rsidR="00EF54B4" w:rsidRPr="00E2226D" w14:paraId="74A56AE4" w14:textId="77777777" w:rsidTr="00151F26">
        <w:trPr>
          <w:trHeight w:val="976"/>
        </w:trPr>
        <w:tc>
          <w:tcPr>
            <w:tcW w:w="1705" w:type="dxa"/>
            <w:vMerge w:val="restart"/>
            <w:tcBorders>
              <w:top w:val="nil"/>
              <w:left w:val="single" w:sz="4" w:space="0" w:color="auto"/>
              <w:bottom w:val="single" w:sz="4" w:space="0" w:color="000000"/>
              <w:right w:val="single" w:sz="4" w:space="0" w:color="auto"/>
            </w:tcBorders>
            <w:noWrap/>
            <w:vAlign w:val="center"/>
            <w:hideMark/>
          </w:tcPr>
          <w:p w14:paraId="7717B713" w14:textId="77777777" w:rsidR="00EF54B4" w:rsidRPr="005014EF" w:rsidRDefault="00EF54B4" w:rsidP="00151F26">
            <w:pPr>
              <w:rPr>
                <w:rFonts w:ascii="Aptos Narrow" w:hAnsi="Aptos Narrow"/>
                <w:b/>
                <w:bCs/>
                <w:color w:val="424242"/>
                <w:sz w:val="18"/>
                <w:szCs w:val="18"/>
                <w:lang w:val="en-US"/>
              </w:rPr>
            </w:pPr>
            <w:r w:rsidRPr="005014EF">
              <w:rPr>
                <w:rFonts w:ascii="Aptos Narrow" w:hAnsi="Aptos Narrow"/>
                <w:b/>
                <w:bCs/>
                <w:color w:val="424242"/>
                <w:sz w:val="18"/>
                <w:szCs w:val="18"/>
                <w:lang w:val="en-US"/>
              </w:rPr>
              <w:t>Natural Capital</w:t>
            </w:r>
          </w:p>
        </w:tc>
        <w:tc>
          <w:tcPr>
            <w:tcW w:w="4935" w:type="dxa"/>
            <w:tcBorders>
              <w:top w:val="single" w:sz="4" w:space="0" w:color="auto"/>
              <w:left w:val="nil"/>
              <w:right w:val="single" w:sz="4" w:space="0" w:color="auto"/>
            </w:tcBorders>
            <w:vAlign w:val="center"/>
            <w:hideMark/>
          </w:tcPr>
          <w:p w14:paraId="63D73BC0" w14:textId="77777777" w:rsidR="00EF54B4" w:rsidRPr="005014EF" w:rsidRDefault="00EF54B4" w:rsidP="00151F26">
            <w:pPr>
              <w:rPr>
                <w:rFonts w:ascii="Aptos Narrow" w:hAnsi="Aptos Narrow"/>
                <w:color w:val="424242"/>
                <w:sz w:val="16"/>
                <w:szCs w:val="16"/>
                <w:lang w:val="en-US"/>
              </w:rPr>
            </w:pPr>
            <w:r w:rsidRPr="005014EF">
              <w:rPr>
                <w:rFonts w:ascii="Aptos Narrow" w:hAnsi="Aptos Narrow"/>
                <w:color w:val="424242"/>
                <w:sz w:val="16"/>
                <w:szCs w:val="16"/>
                <w:lang w:val="en-US"/>
              </w:rPr>
              <w:t>Natural resources:</w:t>
            </w:r>
          </w:p>
        </w:tc>
        <w:tc>
          <w:tcPr>
            <w:tcW w:w="1200" w:type="dxa"/>
            <w:vMerge/>
            <w:tcBorders>
              <w:top w:val="nil"/>
              <w:left w:val="single" w:sz="4" w:space="0" w:color="auto"/>
              <w:bottom w:val="single" w:sz="4" w:space="0" w:color="000000"/>
              <w:right w:val="single" w:sz="4" w:space="0" w:color="auto"/>
            </w:tcBorders>
            <w:vAlign w:val="center"/>
            <w:hideMark/>
          </w:tcPr>
          <w:p w14:paraId="531C2B83" w14:textId="77777777" w:rsidR="00EF54B4" w:rsidRPr="005014EF" w:rsidRDefault="00EF54B4" w:rsidP="00151F26">
            <w:pPr>
              <w:rPr>
                <w:rFonts w:ascii="Aptos Narrow" w:hAnsi="Aptos Narrow"/>
                <w:color w:val="424242"/>
                <w:sz w:val="16"/>
                <w:szCs w:val="16"/>
                <w:lang w:val="en-US"/>
              </w:rPr>
            </w:pPr>
          </w:p>
        </w:tc>
        <w:tc>
          <w:tcPr>
            <w:tcW w:w="2320" w:type="dxa"/>
            <w:vMerge w:val="restart"/>
            <w:tcBorders>
              <w:top w:val="nil"/>
              <w:left w:val="single" w:sz="4" w:space="0" w:color="auto"/>
              <w:bottom w:val="single" w:sz="4" w:space="0" w:color="000000"/>
              <w:right w:val="single" w:sz="4" w:space="0" w:color="auto"/>
            </w:tcBorders>
            <w:shd w:val="clear" w:color="000000" w:fill="4D93D9"/>
            <w:vAlign w:val="center"/>
            <w:hideMark/>
          </w:tcPr>
          <w:p w14:paraId="7ABE169B" w14:textId="77777777" w:rsidR="00EF54B4" w:rsidRPr="005014EF" w:rsidRDefault="00EF54B4" w:rsidP="00151F26">
            <w:pPr>
              <w:jc w:val="center"/>
              <w:rPr>
                <w:rFonts w:ascii="Aptos Narrow" w:hAnsi="Aptos Narrow"/>
                <w:color w:val="424242"/>
                <w:sz w:val="36"/>
                <w:szCs w:val="36"/>
                <w:lang w:val="en-US"/>
              </w:rPr>
            </w:pPr>
            <w:r w:rsidRPr="005014EF">
              <w:rPr>
                <w:rFonts w:ascii="Aptos Narrow" w:hAnsi="Aptos Narrow"/>
                <w:color w:val="424242"/>
                <w:sz w:val="36"/>
                <w:szCs w:val="36"/>
                <w:lang w:val="en-US"/>
              </w:rPr>
              <w:t>carbon in natural resources</w:t>
            </w:r>
          </w:p>
        </w:tc>
        <w:tc>
          <w:tcPr>
            <w:tcW w:w="1800" w:type="dxa"/>
            <w:tcBorders>
              <w:top w:val="nil"/>
              <w:left w:val="single" w:sz="4" w:space="0" w:color="auto"/>
              <w:bottom w:val="dotDash" w:sz="18" w:space="0" w:color="FF0000"/>
              <w:right w:val="single" w:sz="4" w:space="0" w:color="auto"/>
            </w:tcBorders>
            <w:vAlign w:val="center"/>
            <w:hideMark/>
          </w:tcPr>
          <w:p w14:paraId="6976263A" w14:textId="77777777" w:rsidR="00EF54B4" w:rsidRPr="005014EF" w:rsidRDefault="00EF54B4" w:rsidP="00151F26">
            <w:pPr>
              <w:rPr>
                <w:rFonts w:ascii="Aptos Narrow" w:hAnsi="Aptos Narrow"/>
                <w:color w:val="000000"/>
                <w:sz w:val="22"/>
                <w:szCs w:val="22"/>
                <w:lang w:val="en-US"/>
              </w:rPr>
            </w:pPr>
            <w:proofErr w:type="spellStart"/>
            <w:r w:rsidRPr="005014EF">
              <w:rPr>
                <w:rFonts w:ascii="Aptos Narrow" w:hAnsi="Aptos Narrow"/>
                <w:color w:val="000000"/>
                <w:sz w:val="22"/>
                <w:szCs w:val="22"/>
                <w:lang w:val="en-US"/>
              </w:rPr>
              <w:t>geocarbon</w:t>
            </w:r>
            <w:proofErr w:type="spellEnd"/>
            <w:r w:rsidRPr="005014EF">
              <w:rPr>
                <w:rFonts w:ascii="Aptos Narrow" w:hAnsi="Aptos Narrow"/>
                <w:color w:val="000000"/>
                <w:sz w:val="22"/>
                <w:szCs w:val="22"/>
                <w:lang w:val="en-US"/>
              </w:rPr>
              <w:t>, biocarbon</w:t>
            </w:r>
          </w:p>
        </w:tc>
      </w:tr>
      <w:tr w:rsidR="00EF54B4" w:rsidRPr="00E2226D" w14:paraId="28B72C13" w14:textId="77777777" w:rsidTr="00151F26">
        <w:trPr>
          <w:trHeight w:val="1770"/>
        </w:trPr>
        <w:tc>
          <w:tcPr>
            <w:tcW w:w="1705" w:type="dxa"/>
            <w:vMerge/>
            <w:tcBorders>
              <w:top w:val="dotDash" w:sz="18" w:space="0" w:color="FF0000"/>
              <w:left w:val="single" w:sz="4" w:space="0" w:color="auto"/>
              <w:bottom w:val="single" w:sz="4" w:space="0" w:color="000000"/>
              <w:right w:val="single" w:sz="4" w:space="0" w:color="auto"/>
            </w:tcBorders>
            <w:vAlign w:val="center"/>
            <w:hideMark/>
          </w:tcPr>
          <w:p w14:paraId="09029548" w14:textId="77777777" w:rsidR="00EF54B4" w:rsidRPr="005014EF" w:rsidRDefault="00EF54B4" w:rsidP="00151F26">
            <w:pPr>
              <w:rPr>
                <w:rFonts w:ascii="Aptos Narrow" w:hAnsi="Aptos Narrow"/>
                <w:b/>
                <w:bCs/>
                <w:color w:val="424242"/>
                <w:sz w:val="18"/>
                <w:szCs w:val="18"/>
                <w:lang w:val="en-US"/>
              </w:rPr>
            </w:pPr>
          </w:p>
        </w:tc>
        <w:tc>
          <w:tcPr>
            <w:tcW w:w="4935" w:type="dxa"/>
            <w:tcBorders>
              <w:left w:val="nil"/>
              <w:bottom w:val="single" w:sz="4" w:space="0" w:color="auto"/>
              <w:right w:val="single" w:sz="4" w:space="0" w:color="auto"/>
            </w:tcBorders>
            <w:vAlign w:val="center"/>
            <w:hideMark/>
          </w:tcPr>
          <w:p w14:paraId="7A6C3432" w14:textId="77777777" w:rsidR="00026BEA" w:rsidRDefault="00EF54B4" w:rsidP="00151F26">
            <w:pPr>
              <w:ind w:left="318"/>
              <w:rPr>
                <w:rFonts w:ascii="Aptos Narrow" w:hAnsi="Aptos Narrow"/>
                <w:color w:val="424242"/>
                <w:sz w:val="16"/>
                <w:szCs w:val="16"/>
                <w:lang w:val="en-US"/>
              </w:rPr>
            </w:pPr>
            <w:r w:rsidRPr="005014EF">
              <w:rPr>
                <w:rFonts w:ascii="Aptos Narrow" w:hAnsi="Aptos Narrow"/>
                <w:color w:val="424242"/>
                <w:sz w:val="16"/>
                <w:szCs w:val="16"/>
                <w:lang w:val="en-US"/>
              </w:rPr>
              <w:t>Land</w:t>
            </w:r>
          </w:p>
          <w:p w14:paraId="4325A693" w14:textId="5C8C2C60" w:rsidR="00EF54B4" w:rsidRPr="005014EF" w:rsidRDefault="00026BEA" w:rsidP="00151F26">
            <w:pPr>
              <w:ind w:left="318"/>
              <w:rPr>
                <w:rFonts w:ascii="Aptos Narrow" w:hAnsi="Aptos Narrow"/>
                <w:color w:val="424242"/>
                <w:sz w:val="16"/>
                <w:szCs w:val="16"/>
                <w:lang w:val="en-US"/>
              </w:rPr>
            </w:pPr>
            <w:r>
              <w:rPr>
                <w:rFonts w:ascii="Aptos Narrow" w:hAnsi="Aptos Narrow"/>
                <w:color w:val="424242"/>
                <w:sz w:val="16"/>
                <w:szCs w:val="16"/>
                <w:lang w:val="en-US"/>
              </w:rPr>
              <w:t>Soil resources</w:t>
            </w:r>
            <w:r w:rsidR="00EF54B4" w:rsidRPr="005014EF">
              <w:rPr>
                <w:rFonts w:ascii="Aptos Narrow" w:hAnsi="Aptos Narrow"/>
                <w:color w:val="424242"/>
                <w:sz w:val="16"/>
                <w:szCs w:val="16"/>
                <w:lang w:val="en-US"/>
              </w:rPr>
              <w:br/>
              <w:t>Mineral and energy resources (renewable and non-renewable)</w:t>
            </w:r>
            <w:r w:rsidR="00EF54B4" w:rsidRPr="005014EF">
              <w:rPr>
                <w:rFonts w:ascii="Aptos Narrow" w:hAnsi="Aptos Narrow"/>
                <w:color w:val="424242"/>
                <w:sz w:val="16"/>
                <w:szCs w:val="16"/>
                <w:lang w:val="en-US"/>
              </w:rPr>
              <w:br/>
              <w:t>Biological resources</w:t>
            </w:r>
            <w:r w:rsidR="00EF54B4" w:rsidRPr="005014EF">
              <w:rPr>
                <w:rFonts w:ascii="Aptos Narrow" w:hAnsi="Aptos Narrow"/>
                <w:color w:val="424242"/>
                <w:sz w:val="16"/>
                <w:szCs w:val="16"/>
                <w:lang w:val="en-US"/>
              </w:rPr>
              <w:br/>
              <w:t>Water resources</w:t>
            </w:r>
            <w:r w:rsidR="00EF54B4" w:rsidRPr="005014EF">
              <w:rPr>
                <w:rFonts w:ascii="Aptos Narrow" w:hAnsi="Aptos Narrow"/>
                <w:color w:val="424242"/>
                <w:sz w:val="16"/>
                <w:szCs w:val="16"/>
                <w:lang w:val="en-US"/>
              </w:rPr>
              <w:br/>
              <w:t>Other natural resources</w:t>
            </w:r>
          </w:p>
        </w:tc>
        <w:tc>
          <w:tcPr>
            <w:tcW w:w="1200" w:type="dxa"/>
            <w:vMerge/>
            <w:tcBorders>
              <w:top w:val="dotDash" w:sz="18" w:space="0" w:color="FF0000"/>
              <w:left w:val="single" w:sz="4" w:space="0" w:color="auto"/>
              <w:bottom w:val="single" w:sz="4" w:space="0" w:color="000000"/>
              <w:right w:val="single" w:sz="4" w:space="0" w:color="auto"/>
            </w:tcBorders>
            <w:vAlign w:val="center"/>
            <w:hideMark/>
          </w:tcPr>
          <w:p w14:paraId="167430D1" w14:textId="77777777" w:rsidR="00EF54B4" w:rsidRPr="005014EF" w:rsidRDefault="00EF54B4" w:rsidP="00151F26">
            <w:pPr>
              <w:rPr>
                <w:rFonts w:ascii="Aptos Narrow" w:hAnsi="Aptos Narrow"/>
                <w:color w:val="424242"/>
                <w:sz w:val="16"/>
                <w:szCs w:val="16"/>
                <w:lang w:val="en-US"/>
              </w:rPr>
            </w:pPr>
          </w:p>
        </w:tc>
        <w:tc>
          <w:tcPr>
            <w:tcW w:w="2320" w:type="dxa"/>
            <w:vMerge/>
            <w:tcBorders>
              <w:top w:val="dotDash" w:sz="18" w:space="0" w:color="FF0000"/>
              <w:left w:val="single" w:sz="4" w:space="0" w:color="auto"/>
              <w:bottom w:val="single" w:sz="4" w:space="0" w:color="000000"/>
              <w:right w:val="single" w:sz="4" w:space="0" w:color="000000" w:themeColor="text1"/>
            </w:tcBorders>
            <w:vAlign w:val="center"/>
            <w:hideMark/>
          </w:tcPr>
          <w:p w14:paraId="02818C7C" w14:textId="77777777" w:rsidR="00EF54B4" w:rsidRPr="005014EF" w:rsidRDefault="00EF54B4" w:rsidP="00151F26">
            <w:pPr>
              <w:rPr>
                <w:rFonts w:ascii="Aptos Narrow" w:hAnsi="Aptos Narrow"/>
                <w:color w:val="424242"/>
                <w:sz w:val="36"/>
                <w:szCs w:val="36"/>
                <w:lang w:val="en-US"/>
              </w:rPr>
            </w:pPr>
          </w:p>
        </w:tc>
        <w:tc>
          <w:tcPr>
            <w:tcW w:w="1800" w:type="dxa"/>
            <w:vMerge w:val="restart"/>
            <w:tcBorders>
              <w:top w:val="dotDash" w:sz="18" w:space="0" w:color="FF0000"/>
              <w:left w:val="single" w:sz="4" w:space="0" w:color="000000" w:themeColor="text1"/>
              <w:right w:val="single" w:sz="4" w:space="0" w:color="000000" w:themeColor="text1"/>
            </w:tcBorders>
            <w:vAlign w:val="center"/>
            <w:hideMark/>
          </w:tcPr>
          <w:p w14:paraId="3EF71A42" w14:textId="77777777" w:rsidR="00EF54B4" w:rsidRPr="005014EF" w:rsidRDefault="00EF54B4" w:rsidP="00151F26">
            <w:pPr>
              <w:jc w:val="center"/>
              <w:rPr>
                <w:rFonts w:ascii="Aptos Narrow" w:hAnsi="Aptos Narrow"/>
                <w:color w:val="000000"/>
                <w:sz w:val="22"/>
                <w:szCs w:val="22"/>
                <w:lang w:val="en-US"/>
              </w:rPr>
            </w:pPr>
          </w:p>
        </w:tc>
      </w:tr>
      <w:tr w:rsidR="00EF54B4" w:rsidRPr="00E2226D" w14:paraId="28BA3836" w14:textId="77777777" w:rsidTr="00151F26">
        <w:trPr>
          <w:trHeight w:val="540"/>
        </w:trPr>
        <w:tc>
          <w:tcPr>
            <w:tcW w:w="1705" w:type="dxa"/>
            <w:vMerge/>
            <w:tcBorders>
              <w:top w:val="nil"/>
              <w:left w:val="single" w:sz="4" w:space="0" w:color="auto"/>
              <w:bottom w:val="single" w:sz="4" w:space="0" w:color="000000"/>
              <w:right w:val="single" w:sz="4" w:space="0" w:color="auto"/>
            </w:tcBorders>
            <w:vAlign w:val="center"/>
            <w:hideMark/>
          </w:tcPr>
          <w:p w14:paraId="16229412" w14:textId="77777777" w:rsidR="00EF54B4" w:rsidRPr="005014EF" w:rsidRDefault="00EF54B4" w:rsidP="00151F26">
            <w:pPr>
              <w:rPr>
                <w:rFonts w:ascii="Aptos Narrow" w:hAnsi="Aptos Narrow"/>
                <w:b/>
                <w:bCs/>
                <w:color w:val="424242"/>
                <w:sz w:val="18"/>
                <w:szCs w:val="18"/>
                <w:lang w:val="en-US"/>
              </w:rPr>
            </w:pPr>
          </w:p>
        </w:tc>
        <w:tc>
          <w:tcPr>
            <w:tcW w:w="4935" w:type="dxa"/>
            <w:vMerge w:val="restart"/>
            <w:tcBorders>
              <w:top w:val="nil"/>
              <w:left w:val="single" w:sz="4" w:space="0" w:color="auto"/>
              <w:bottom w:val="single" w:sz="4" w:space="0" w:color="000000"/>
              <w:right w:val="single" w:sz="4" w:space="0" w:color="auto"/>
            </w:tcBorders>
            <w:noWrap/>
            <w:vAlign w:val="center"/>
            <w:hideMark/>
          </w:tcPr>
          <w:p w14:paraId="47972EBC" w14:textId="77777777" w:rsidR="00EF54B4" w:rsidRPr="005014EF" w:rsidRDefault="00EF54B4" w:rsidP="00151F26">
            <w:pPr>
              <w:rPr>
                <w:rFonts w:ascii="Aptos Narrow" w:hAnsi="Aptos Narrow"/>
                <w:color w:val="424242"/>
                <w:sz w:val="16"/>
                <w:szCs w:val="16"/>
                <w:lang w:val="en-US"/>
              </w:rPr>
            </w:pPr>
            <w:r w:rsidRPr="005014EF">
              <w:rPr>
                <w:rFonts w:ascii="Aptos Narrow" w:hAnsi="Aptos Narrow"/>
                <w:color w:val="424242"/>
                <w:sz w:val="16"/>
                <w:szCs w:val="16"/>
                <w:lang w:val="en-US"/>
              </w:rPr>
              <w:t>Ecosystem assets</w:t>
            </w:r>
          </w:p>
        </w:tc>
        <w:tc>
          <w:tcPr>
            <w:tcW w:w="1200" w:type="dxa"/>
            <w:vMerge w:val="restart"/>
            <w:tcBorders>
              <w:top w:val="nil"/>
              <w:left w:val="single" w:sz="4" w:space="0" w:color="auto"/>
              <w:bottom w:val="single" w:sz="4" w:space="0" w:color="000000"/>
              <w:right w:val="nil"/>
              <w:tl2br w:val="single" w:sz="4" w:space="0" w:color="auto"/>
              <w:tr2bl w:val="single" w:sz="4" w:space="0" w:color="auto"/>
            </w:tcBorders>
            <w:shd w:val="clear" w:color="000000" w:fill="D9D9D9"/>
            <w:vAlign w:val="center"/>
            <w:hideMark/>
          </w:tcPr>
          <w:p w14:paraId="0DE8C4FB" w14:textId="77777777" w:rsidR="00EF54B4" w:rsidRPr="005014EF" w:rsidRDefault="00EF54B4" w:rsidP="00151F26">
            <w:pPr>
              <w:jc w:val="center"/>
              <w:rPr>
                <w:rFonts w:ascii="Aptos Narrow" w:hAnsi="Aptos Narrow"/>
                <w:color w:val="424242"/>
                <w:sz w:val="16"/>
                <w:szCs w:val="16"/>
                <w:lang w:val="en-US"/>
              </w:rPr>
            </w:pPr>
            <w:r w:rsidRPr="005014EF">
              <w:rPr>
                <w:rFonts w:ascii="Aptos Narrow" w:hAnsi="Aptos Narrow"/>
                <w:color w:val="424242"/>
                <w:sz w:val="16"/>
                <w:szCs w:val="16"/>
                <w:lang w:val="en-US"/>
              </w:rPr>
              <w:t> </w:t>
            </w:r>
          </w:p>
        </w:tc>
        <w:tc>
          <w:tcPr>
            <w:tcW w:w="2320" w:type="dxa"/>
            <w:vMerge w:val="restart"/>
            <w:tcBorders>
              <w:top w:val="nil"/>
              <w:left w:val="nil"/>
              <w:bottom w:val="single" w:sz="4" w:space="0" w:color="000000"/>
              <w:right w:val="single" w:sz="4" w:space="0" w:color="000000" w:themeColor="text1"/>
            </w:tcBorders>
            <w:noWrap/>
            <w:vAlign w:val="center"/>
            <w:hideMark/>
          </w:tcPr>
          <w:p w14:paraId="35D98D21" w14:textId="77777777" w:rsidR="00EF54B4" w:rsidRPr="005014EF" w:rsidRDefault="00EF54B4" w:rsidP="00151F26">
            <w:pPr>
              <w:rPr>
                <w:rFonts w:ascii="Aptos Narrow" w:hAnsi="Aptos Narrow"/>
                <w:color w:val="424242"/>
                <w:sz w:val="16"/>
                <w:szCs w:val="16"/>
                <w:lang w:val="en-US"/>
              </w:rPr>
            </w:pPr>
            <w:r w:rsidRPr="005014EF">
              <w:rPr>
                <w:rFonts w:ascii="Aptos Narrow" w:hAnsi="Aptos Narrow"/>
                <w:color w:val="424242"/>
                <w:sz w:val="16"/>
                <w:szCs w:val="16"/>
                <w:lang w:val="en-US"/>
              </w:rPr>
              <w:t>Ecosystem assets</w:t>
            </w:r>
          </w:p>
        </w:tc>
        <w:tc>
          <w:tcPr>
            <w:tcW w:w="1800" w:type="dxa"/>
            <w:vMerge/>
            <w:tcBorders>
              <w:left w:val="single" w:sz="4" w:space="0" w:color="000000" w:themeColor="text1"/>
              <w:bottom w:val="single" w:sz="4" w:space="0" w:color="000000" w:themeColor="text1"/>
              <w:right w:val="single" w:sz="4" w:space="0" w:color="000000" w:themeColor="text1"/>
            </w:tcBorders>
            <w:vAlign w:val="center"/>
            <w:hideMark/>
          </w:tcPr>
          <w:p w14:paraId="7607EA73" w14:textId="77777777" w:rsidR="00EF54B4" w:rsidRPr="005014EF" w:rsidRDefault="00EF54B4" w:rsidP="00151F26">
            <w:pPr>
              <w:rPr>
                <w:rFonts w:ascii="Aptos Narrow" w:hAnsi="Aptos Narrow"/>
                <w:color w:val="000000"/>
                <w:sz w:val="22"/>
                <w:szCs w:val="22"/>
                <w:lang w:val="en-US"/>
              </w:rPr>
            </w:pPr>
          </w:p>
        </w:tc>
      </w:tr>
      <w:tr w:rsidR="00EF54B4" w:rsidRPr="005014EF" w14:paraId="2A8839DE" w14:textId="77777777" w:rsidTr="00151F26">
        <w:trPr>
          <w:trHeight w:val="1160"/>
        </w:trPr>
        <w:tc>
          <w:tcPr>
            <w:tcW w:w="1705" w:type="dxa"/>
            <w:vMerge/>
            <w:tcBorders>
              <w:top w:val="nil"/>
              <w:left w:val="single" w:sz="4" w:space="0" w:color="auto"/>
              <w:bottom w:val="single" w:sz="4" w:space="0" w:color="000000"/>
              <w:right w:val="single" w:sz="4" w:space="0" w:color="auto"/>
            </w:tcBorders>
            <w:vAlign w:val="center"/>
            <w:hideMark/>
          </w:tcPr>
          <w:p w14:paraId="0B0B41D1" w14:textId="77777777" w:rsidR="00EF54B4" w:rsidRPr="005014EF" w:rsidRDefault="00EF54B4" w:rsidP="00151F26">
            <w:pPr>
              <w:rPr>
                <w:rFonts w:ascii="Aptos Narrow" w:hAnsi="Aptos Narrow"/>
                <w:b/>
                <w:bCs/>
                <w:color w:val="424242"/>
                <w:sz w:val="18"/>
                <w:szCs w:val="18"/>
                <w:lang w:val="en-US"/>
              </w:rPr>
            </w:pPr>
          </w:p>
        </w:tc>
        <w:tc>
          <w:tcPr>
            <w:tcW w:w="4935" w:type="dxa"/>
            <w:vMerge/>
            <w:tcBorders>
              <w:top w:val="nil"/>
              <w:left w:val="single" w:sz="4" w:space="0" w:color="auto"/>
              <w:bottom w:val="single" w:sz="4" w:space="0" w:color="000000"/>
              <w:right w:val="single" w:sz="4" w:space="0" w:color="auto"/>
            </w:tcBorders>
            <w:vAlign w:val="center"/>
            <w:hideMark/>
          </w:tcPr>
          <w:p w14:paraId="49E8AC5E" w14:textId="77777777" w:rsidR="00EF54B4" w:rsidRPr="005014EF" w:rsidRDefault="00EF54B4" w:rsidP="00151F26">
            <w:pPr>
              <w:rPr>
                <w:rFonts w:ascii="Aptos Narrow" w:hAnsi="Aptos Narrow"/>
                <w:color w:val="424242"/>
                <w:sz w:val="16"/>
                <w:szCs w:val="16"/>
                <w:lang w:val="en-US"/>
              </w:rPr>
            </w:pPr>
          </w:p>
        </w:tc>
        <w:tc>
          <w:tcPr>
            <w:tcW w:w="1200" w:type="dxa"/>
            <w:vMerge/>
            <w:tcBorders>
              <w:top w:val="nil"/>
              <w:left w:val="single" w:sz="4" w:space="0" w:color="auto"/>
              <w:bottom w:val="single" w:sz="4" w:space="0" w:color="000000"/>
              <w:right w:val="nil"/>
            </w:tcBorders>
            <w:vAlign w:val="center"/>
            <w:hideMark/>
          </w:tcPr>
          <w:p w14:paraId="7E2969E3" w14:textId="77777777" w:rsidR="00EF54B4" w:rsidRPr="005014EF" w:rsidRDefault="00EF54B4" w:rsidP="00151F26">
            <w:pPr>
              <w:rPr>
                <w:rFonts w:ascii="Aptos Narrow" w:hAnsi="Aptos Narrow"/>
                <w:color w:val="424242"/>
                <w:sz w:val="16"/>
                <w:szCs w:val="16"/>
                <w:lang w:val="en-US"/>
              </w:rPr>
            </w:pPr>
          </w:p>
        </w:tc>
        <w:tc>
          <w:tcPr>
            <w:tcW w:w="2320" w:type="dxa"/>
            <w:vMerge/>
            <w:tcBorders>
              <w:top w:val="nil"/>
              <w:left w:val="nil"/>
              <w:bottom w:val="single" w:sz="4" w:space="0" w:color="000000"/>
              <w:right w:val="single" w:sz="4" w:space="0" w:color="000000" w:themeColor="text1"/>
            </w:tcBorders>
            <w:vAlign w:val="center"/>
            <w:hideMark/>
          </w:tcPr>
          <w:p w14:paraId="15D01E35" w14:textId="77777777" w:rsidR="00EF54B4" w:rsidRPr="005014EF" w:rsidRDefault="00EF54B4" w:rsidP="00151F26">
            <w:pPr>
              <w:rPr>
                <w:rFonts w:ascii="Aptos Narrow" w:hAnsi="Aptos Narrow"/>
                <w:color w:val="424242"/>
                <w:sz w:val="16"/>
                <w:szCs w:val="16"/>
                <w:lang w:val="en-US"/>
              </w:rPr>
            </w:pP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14:paraId="6C238A94" w14:textId="77777777" w:rsidR="00EF54B4" w:rsidRPr="005014EF" w:rsidRDefault="00EF54B4" w:rsidP="00151F26">
            <w:pPr>
              <w:rPr>
                <w:rFonts w:ascii="Aptos Narrow" w:hAnsi="Aptos Narrow"/>
                <w:color w:val="000000"/>
                <w:sz w:val="22"/>
                <w:szCs w:val="22"/>
                <w:lang w:val="en-US"/>
              </w:rPr>
            </w:pPr>
            <w:r w:rsidRPr="00E2226D">
              <w:rPr>
                <w:rFonts w:ascii="Aptos Narrow" w:hAnsi="Aptos Narrow"/>
                <w:color w:val="000000"/>
                <w:sz w:val="22"/>
                <w:szCs w:val="22"/>
                <w:lang w:val="en-US"/>
              </w:rPr>
              <w:t>C</w:t>
            </w:r>
            <w:r w:rsidRPr="005014EF">
              <w:rPr>
                <w:rFonts w:ascii="Aptos Narrow" w:hAnsi="Aptos Narrow"/>
                <w:color w:val="000000"/>
                <w:sz w:val="22"/>
                <w:szCs w:val="22"/>
                <w:lang w:val="en-US"/>
              </w:rPr>
              <w:t>arbon in the oceans (inorganic only) and in the atmosphere</w:t>
            </w:r>
            <w:r w:rsidRPr="00E2226D">
              <w:rPr>
                <w:rFonts w:ascii="Aptos Narrow" w:hAnsi="Aptos Narrow"/>
                <w:color w:val="000000"/>
                <w:sz w:val="22"/>
                <w:szCs w:val="22"/>
                <w:lang w:val="en-US"/>
              </w:rPr>
              <w:t>.</w:t>
            </w:r>
          </w:p>
        </w:tc>
      </w:tr>
    </w:tbl>
    <w:p w14:paraId="4720B4EB" w14:textId="77777777" w:rsidR="00EF54B4" w:rsidRDefault="00EF54B4" w:rsidP="00EF54B4">
      <w:pPr>
        <w:pStyle w:val="Paragraph"/>
        <w:numPr>
          <w:ilvl w:val="0"/>
          <w:numId w:val="0"/>
        </w:numPr>
        <w:ind w:left="284" w:hanging="357"/>
      </w:pPr>
    </w:p>
    <w:p w14:paraId="4CC968D9" w14:textId="77777777" w:rsidR="00EF54B4" w:rsidRDefault="00EF54B4" w:rsidP="00EF54B4">
      <w:pPr>
        <w:pStyle w:val="Paragraph"/>
        <w:numPr>
          <w:ilvl w:val="0"/>
          <w:numId w:val="0"/>
        </w:numPr>
        <w:ind w:left="284" w:hanging="357"/>
      </w:pPr>
    </w:p>
    <w:p w14:paraId="65C81FA0" w14:textId="77777777" w:rsidR="00EF54B4" w:rsidRDefault="00EF54B4" w:rsidP="00EF54B4"/>
    <w:p w14:paraId="49723250" w14:textId="77777777" w:rsidR="00EF54B4" w:rsidRDefault="00EF54B4" w:rsidP="00EF54B4">
      <w:pPr>
        <w:pStyle w:val="Heading1"/>
        <w:rPr>
          <w:szCs w:val="28"/>
        </w:rPr>
        <w:sectPr w:rsidR="00EF54B4" w:rsidSect="00EF54B4">
          <w:pgSz w:w="15842" w:h="12219" w:orient="landscape"/>
          <w:pgMar w:top="1077" w:right="1622" w:bottom="1077" w:left="1440" w:header="720" w:footer="720" w:gutter="0"/>
          <w:cols w:space="720"/>
          <w:titlePg/>
          <w:docGrid w:linePitch="360"/>
        </w:sectPr>
      </w:pPr>
    </w:p>
    <w:p w14:paraId="038351A2" w14:textId="77777777" w:rsidR="00A3420E" w:rsidRDefault="00A3420E" w:rsidP="00C50259">
      <w:pPr>
        <w:pStyle w:val="Paragraph"/>
        <w:numPr>
          <w:ilvl w:val="0"/>
          <w:numId w:val="0"/>
        </w:numPr>
        <w:ind w:left="714" w:hanging="357"/>
        <w:rPr>
          <w:lang w:val="en-GB"/>
        </w:rPr>
      </w:pPr>
    </w:p>
    <w:p w14:paraId="300BBA35" w14:textId="04761FA0" w:rsidR="0004161D" w:rsidRDefault="0004161D" w:rsidP="00E60955">
      <w:pPr>
        <w:pStyle w:val="Heading2"/>
      </w:pPr>
      <w:bookmarkStart w:id="19" w:name="_Toc239173049"/>
      <w:r>
        <w:t>Proposed structure for a carbon stock account in physical terms</w:t>
      </w:r>
      <w:bookmarkEnd w:id="19"/>
    </w:p>
    <w:p w14:paraId="3D8FB888" w14:textId="77777777" w:rsidR="00FA557B" w:rsidRDefault="00FA557B" w:rsidP="0004161D">
      <w:pPr>
        <w:pStyle w:val="Paragraph"/>
        <w:rPr>
          <w:lang w:val="en-GB"/>
        </w:rPr>
      </w:pPr>
      <w:r>
        <w:rPr>
          <w:lang w:val="en-GB"/>
        </w:rPr>
        <w:t xml:space="preserve">Starting from the SEEA EA carbon stock account structure presented in </w:t>
      </w:r>
      <w:r w:rsidR="00BD006E">
        <w:rPr>
          <w:lang w:val="en-GB"/>
        </w:rPr>
        <w:t>Table 1 above</w:t>
      </w:r>
      <w:r>
        <w:rPr>
          <w:lang w:val="en-GB"/>
        </w:rPr>
        <w:t xml:space="preserve">, an amended structure is proposed in the table below. The proposed carbon stock account presents </w:t>
      </w:r>
      <w:r w:rsidR="00BD006E">
        <w:rPr>
          <w:lang w:val="en-GB"/>
        </w:rPr>
        <w:t>opening</w:t>
      </w:r>
      <w:r>
        <w:rPr>
          <w:lang w:val="en-GB"/>
        </w:rPr>
        <w:t xml:space="preserve"> stocks</w:t>
      </w:r>
      <w:r w:rsidR="00BD006E">
        <w:rPr>
          <w:lang w:val="en-GB"/>
        </w:rPr>
        <w:t>, additions, reductions and closing</w:t>
      </w:r>
      <w:r>
        <w:rPr>
          <w:lang w:val="en-GB"/>
        </w:rPr>
        <w:t xml:space="preserve"> stocks</w:t>
      </w:r>
      <w:r w:rsidR="00BD006E">
        <w:rPr>
          <w:lang w:val="en-GB"/>
        </w:rPr>
        <w:t xml:space="preserve"> for each reservoir</w:t>
      </w:r>
      <w:r>
        <w:rPr>
          <w:lang w:val="en-GB"/>
        </w:rPr>
        <w:t xml:space="preserve"> as for the SEEA EA account. The proposed changes concern relabelling and including additional detail for the carbon reservoirs, as well as some additional types of changes. </w:t>
      </w:r>
    </w:p>
    <w:p w14:paraId="0D564507" w14:textId="588D9F11" w:rsidR="00FA557B" w:rsidRDefault="00F81CAD" w:rsidP="0004161D">
      <w:pPr>
        <w:pStyle w:val="Paragraph"/>
        <w:rPr>
          <w:lang w:val="en-GB"/>
        </w:rPr>
      </w:pPr>
      <w:r>
        <w:rPr>
          <w:lang w:val="en-GB"/>
        </w:rPr>
        <w:t>A</w:t>
      </w:r>
      <w:r w:rsidR="00FA557B">
        <w:rPr>
          <w:lang w:val="en-GB"/>
        </w:rPr>
        <w:t xml:space="preserve"> general</w:t>
      </w:r>
      <w:r>
        <w:rPr>
          <w:lang w:val="en-GB"/>
        </w:rPr>
        <w:t xml:space="preserve"> intention </w:t>
      </w:r>
      <w:r w:rsidR="00FA557B">
        <w:rPr>
          <w:lang w:val="en-GB"/>
        </w:rPr>
        <w:t xml:space="preserve">is </w:t>
      </w:r>
      <w:r>
        <w:rPr>
          <w:lang w:val="en-GB"/>
        </w:rPr>
        <w:t>to</w:t>
      </w:r>
      <w:r w:rsidR="00FA557B">
        <w:rPr>
          <w:lang w:val="en-GB"/>
        </w:rPr>
        <w:t xml:space="preserve"> design the account at a level of detail that support connection to the recording of carbon related stocks and flows in other SEEA CF accounts, for example in relation to recording LULUC flows and carbon capture and storage in the air emissions account. &lt;&lt;NB: Further work is required to develop these connections.&gt;&gt;</w:t>
      </w:r>
    </w:p>
    <w:p w14:paraId="6315E1ED" w14:textId="7B3FE212" w:rsidR="00033B35" w:rsidRDefault="00FA557B" w:rsidP="00FA557B">
      <w:pPr>
        <w:pStyle w:val="Paragraph"/>
        <w:numPr>
          <w:ilvl w:val="0"/>
          <w:numId w:val="0"/>
        </w:numPr>
        <w:ind w:left="360"/>
        <w:rPr>
          <w:lang w:val="en-GB"/>
        </w:rPr>
      </w:pPr>
      <w:r>
        <w:rPr>
          <w:lang w:val="en-GB"/>
        </w:rPr>
        <w:t>&lt;&lt;NB: It is also considered appropriate to support the connection to UNFCCC reporting either in the design of the carbon stock account itself and/or via bridge tables. For example, in terms of changes in carbon stock in the biosphere it may be relevant to incorporate separate rows to record changes in carbon stocks due to (</w:t>
      </w:r>
      <w:proofErr w:type="spellStart"/>
      <w:r>
        <w:rPr>
          <w:lang w:val="en-GB"/>
        </w:rPr>
        <w:t>i</w:t>
      </w:r>
      <w:proofErr w:type="spellEnd"/>
      <w:r>
        <w:rPr>
          <w:lang w:val="en-GB"/>
        </w:rPr>
        <w:t>) land use change; (ii) current land management practices; (iii) human-induced disturbances; and (iv) natural disturbance. This work should be taken forward as part of describing the general connection to UNFCCC described in Section 7 below.&gt;&gt;</w:t>
      </w:r>
    </w:p>
    <w:p w14:paraId="1B3E6DD0" w14:textId="4A33A5E4" w:rsidR="001D0F81" w:rsidRDefault="00FA557B" w:rsidP="0004161D">
      <w:pPr>
        <w:pStyle w:val="Paragraph"/>
        <w:rPr>
          <w:lang w:val="en-GB"/>
        </w:rPr>
      </w:pPr>
      <w:r>
        <w:rPr>
          <w:lang w:val="en-GB"/>
        </w:rPr>
        <w:t xml:space="preserve">Also under consideration is the development of a </w:t>
      </w:r>
      <w:proofErr w:type="gramStart"/>
      <w:r>
        <w:rPr>
          <w:lang w:val="en-GB"/>
        </w:rPr>
        <w:t>high level</w:t>
      </w:r>
      <w:proofErr w:type="gramEnd"/>
      <w:r>
        <w:rPr>
          <w:lang w:val="en-GB"/>
        </w:rPr>
        <w:t xml:space="preserve"> </w:t>
      </w:r>
      <w:r w:rsidR="00601448">
        <w:rPr>
          <w:lang w:val="en-GB"/>
        </w:rPr>
        <w:t>carbon stock change matrix showing changes in stock across reservoirs</w:t>
      </w:r>
      <w:r w:rsidR="00884A07">
        <w:rPr>
          <w:lang w:val="en-GB"/>
        </w:rPr>
        <w:t>. This account may respond to the concern that absolute stocks of carbon are of less interest than the changes across reservoirs.</w:t>
      </w:r>
      <w:r w:rsidR="007D2A01">
        <w:rPr>
          <w:lang w:val="en-GB"/>
        </w:rPr>
        <w:t xml:space="preserve"> It is noted that water resource asset accounts include opening and closing stocks but estimating these in practice is generally considered </w:t>
      </w:r>
      <w:r w:rsidR="001D0F81">
        <w:rPr>
          <w:lang w:val="en-GB"/>
        </w:rPr>
        <w:t>impractical.</w:t>
      </w:r>
      <w:r w:rsidR="00EB5710">
        <w:rPr>
          <w:lang w:val="en-GB"/>
        </w:rPr>
        <w:t xml:space="preserve"> While this proposed change matrix is inspired by the land cover change matrix</w:t>
      </w:r>
      <w:r w:rsidR="00014C8F">
        <w:rPr>
          <w:lang w:val="en-GB"/>
        </w:rPr>
        <w:t>, the application of this approach in the context of carbon stocks requires further investigation.</w:t>
      </w:r>
      <w:r>
        <w:rPr>
          <w:lang w:val="en-GB"/>
        </w:rPr>
        <w:t xml:space="preserve"> One approach may be to apply the approach in the water resource asset account and include entries (additions and reductions) for recording inflows and outflows to other types of water resources. This approach might, in fact, be incorporated in Table 3 below rather than using the more traditional asset account entries. </w:t>
      </w:r>
    </w:p>
    <w:p w14:paraId="1A70F0BE" w14:textId="439990FB" w:rsidR="001D0F81" w:rsidRDefault="00FA557B" w:rsidP="0004161D">
      <w:pPr>
        <w:pStyle w:val="Paragraph"/>
        <w:rPr>
          <w:lang w:val="en-GB"/>
        </w:rPr>
      </w:pPr>
      <w:r>
        <w:rPr>
          <w:lang w:val="en-GB"/>
        </w:rPr>
        <w:t>In developing and describing the accounts the following considerations have arisen:</w:t>
      </w:r>
    </w:p>
    <w:p w14:paraId="7244E340" w14:textId="1325A002" w:rsidR="00FA557B" w:rsidRDefault="00FA557B" w:rsidP="001D0F81">
      <w:pPr>
        <w:pStyle w:val="Paragraph"/>
        <w:numPr>
          <w:ilvl w:val="1"/>
          <w:numId w:val="8"/>
        </w:numPr>
        <w:rPr>
          <w:lang w:val="en-GB"/>
        </w:rPr>
      </w:pPr>
      <w:r>
        <w:rPr>
          <w:lang w:val="en-GB"/>
        </w:rPr>
        <w:t xml:space="preserve">Whether the same level of detail, especially concerning additions and reductions, is relevant across all reservoirs. For example, it may be relevant to have greater detail in relation to changes in the stock of carbon in the biosphere compared to other reservoirs. </w:t>
      </w:r>
    </w:p>
    <w:p w14:paraId="76A84589" w14:textId="02EB4745" w:rsidR="00FA557B" w:rsidRDefault="00FA557B" w:rsidP="001D0F81">
      <w:pPr>
        <w:pStyle w:val="Paragraph"/>
        <w:numPr>
          <w:ilvl w:val="1"/>
          <w:numId w:val="8"/>
        </w:numPr>
        <w:rPr>
          <w:lang w:val="en-GB"/>
        </w:rPr>
      </w:pPr>
      <w:r>
        <w:rPr>
          <w:lang w:val="en-GB"/>
        </w:rPr>
        <w:t xml:space="preserve">What spatial boundaries should be placed on measurement. This issue has been discussed earlier in terms of the appropriate scoping for carbon stock accounts and particularly concerns measurement of carbon in the atmosphere and the oceans. Aside from a general challenge of delimitation, a particular concern with respect to a complete carbon stock account is how to establish the boundaries for a single country. If this is not considered practical or meaningful, what scoping should be proposed? </w:t>
      </w:r>
    </w:p>
    <w:p w14:paraId="1F0A10C7" w14:textId="6134A693" w:rsidR="00FA557B" w:rsidRDefault="00FA557B" w:rsidP="001D0F81">
      <w:pPr>
        <w:pStyle w:val="Paragraph"/>
        <w:numPr>
          <w:ilvl w:val="1"/>
          <w:numId w:val="8"/>
        </w:numPr>
        <w:rPr>
          <w:lang w:val="en-GB"/>
        </w:rPr>
      </w:pPr>
      <w:r>
        <w:rPr>
          <w:lang w:val="en-GB"/>
        </w:rPr>
        <w:t>Related to this last point is there the potential to compile a global carbon stock account?</w:t>
      </w:r>
    </w:p>
    <w:p w14:paraId="73AD40A7" w14:textId="3120EF6A" w:rsidR="0004161D" w:rsidRDefault="00FA557B" w:rsidP="001D0F81">
      <w:pPr>
        <w:pStyle w:val="Paragraph"/>
        <w:numPr>
          <w:ilvl w:val="1"/>
          <w:numId w:val="8"/>
        </w:numPr>
        <w:rPr>
          <w:lang w:val="en-GB"/>
        </w:rPr>
      </w:pPr>
      <w:r>
        <w:rPr>
          <w:lang w:val="en-GB"/>
        </w:rPr>
        <w:lastRenderedPageBreak/>
        <w:t xml:space="preserve">Assuming accounting boundaries can be established, what is the </w:t>
      </w:r>
      <w:r w:rsidR="001D0F81">
        <w:rPr>
          <w:lang w:val="en-GB"/>
        </w:rPr>
        <w:t xml:space="preserve">extent to which </w:t>
      </w:r>
      <w:r w:rsidR="00705E86">
        <w:rPr>
          <w:lang w:val="en-GB"/>
        </w:rPr>
        <w:t xml:space="preserve">the location of </w:t>
      </w:r>
      <w:r w:rsidR="001D0F81">
        <w:rPr>
          <w:lang w:val="en-GB"/>
        </w:rPr>
        <w:t xml:space="preserve">stocks within a given reservoir should be </w:t>
      </w:r>
      <w:r w:rsidR="00705E86">
        <w:rPr>
          <w:lang w:val="en-GB"/>
        </w:rPr>
        <w:t xml:space="preserve">recorded – and in this context, </w:t>
      </w:r>
      <w:r>
        <w:rPr>
          <w:lang w:val="en-GB"/>
        </w:rPr>
        <w:t xml:space="preserve">is it considered appropriate to </w:t>
      </w:r>
      <w:r w:rsidR="00705E86">
        <w:rPr>
          <w:lang w:val="en-GB"/>
        </w:rPr>
        <w:t xml:space="preserve">present information on the </w:t>
      </w:r>
      <w:r>
        <w:rPr>
          <w:lang w:val="en-GB"/>
        </w:rPr>
        <w:t>“</w:t>
      </w:r>
      <w:r w:rsidR="00D3602D">
        <w:rPr>
          <w:lang w:val="en-GB"/>
        </w:rPr>
        <w:t>quality</w:t>
      </w:r>
      <w:r>
        <w:rPr>
          <w:lang w:val="en-GB"/>
        </w:rPr>
        <w:t>”</w:t>
      </w:r>
      <w:r w:rsidR="00D3602D">
        <w:rPr>
          <w:lang w:val="en-GB"/>
        </w:rPr>
        <w:t xml:space="preserve"> of the carbon stock in terms of the condition of the reservoir</w:t>
      </w:r>
      <w:r>
        <w:rPr>
          <w:lang w:val="en-GB"/>
        </w:rPr>
        <w:t>? One approach would be to allow for the inclusion of additional columns in the carbon stock account to separate carbon in the biosphere (and perhaps oceans) into ecosystem types and condition categories. Alternatively, a complementary biosphere carbon stock account might be compiled which presents this additional detail.</w:t>
      </w:r>
      <w:r w:rsidR="00D3602D">
        <w:rPr>
          <w:lang w:val="en-GB"/>
        </w:rPr>
        <w:t xml:space="preserve"> </w:t>
      </w:r>
    </w:p>
    <w:p w14:paraId="273A904D" w14:textId="57719606" w:rsidR="00FA557B" w:rsidRDefault="00FA557B" w:rsidP="001D0F81">
      <w:pPr>
        <w:pStyle w:val="Paragraph"/>
        <w:numPr>
          <w:ilvl w:val="1"/>
          <w:numId w:val="8"/>
        </w:numPr>
        <w:rPr>
          <w:lang w:val="en-GB"/>
        </w:rPr>
      </w:pPr>
      <w:r>
        <w:rPr>
          <w:lang w:val="en-GB"/>
        </w:rPr>
        <w:t>To what extent would it be possible and/or relevant to record separately the stock of carbon that is within scope of a carbon market? This might be recorded separately as an “of which” in measures of the stock of carbon in the biosphere and oceans.</w:t>
      </w:r>
    </w:p>
    <w:p w14:paraId="197A3B9A" w14:textId="77777777" w:rsidR="00EA74F8" w:rsidRDefault="00EA74F8" w:rsidP="0004161D"/>
    <w:p w14:paraId="6D5BAD0C" w14:textId="77777777" w:rsidR="00FA557B" w:rsidRDefault="00FA557B" w:rsidP="0004161D">
      <w:pPr>
        <w:sectPr w:rsidR="00FA557B" w:rsidSect="007C1ED8">
          <w:footerReference w:type="even" r:id="rId17"/>
          <w:footerReference w:type="default" r:id="rId18"/>
          <w:headerReference w:type="first" r:id="rId19"/>
          <w:footerReference w:type="first" r:id="rId20"/>
          <w:pgSz w:w="12240" w:h="15840"/>
          <w:pgMar w:top="1440" w:right="1080" w:bottom="1620" w:left="1080" w:header="720" w:footer="720" w:gutter="0"/>
          <w:cols w:space="720"/>
          <w:titlePg/>
          <w:docGrid w:linePitch="360"/>
        </w:sectPr>
      </w:pPr>
    </w:p>
    <w:p w14:paraId="1496E8D8" w14:textId="1754171E" w:rsidR="00FA557B" w:rsidRPr="00FA557B" w:rsidRDefault="00FA557B" w:rsidP="0004161D">
      <w:pPr>
        <w:rPr>
          <w:rFonts w:asciiTheme="minorHAnsi" w:hAnsiTheme="minorHAnsi" w:cstheme="minorHAnsi"/>
          <w:b/>
          <w:bCs/>
        </w:rPr>
      </w:pPr>
      <w:r w:rsidRPr="00FA557B">
        <w:rPr>
          <w:rFonts w:asciiTheme="minorHAnsi" w:hAnsiTheme="minorHAnsi" w:cstheme="minorHAnsi"/>
          <w:b/>
          <w:bCs/>
        </w:rPr>
        <w:lastRenderedPageBreak/>
        <w:t>Table 3: Proposed carbon stock account</w:t>
      </w:r>
    </w:p>
    <w:p w14:paraId="65E433C4" w14:textId="77777777" w:rsidR="00FA557B" w:rsidRDefault="00FA557B" w:rsidP="0004161D"/>
    <w:p w14:paraId="37ADBB32" w14:textId="4A5F440C" w:rsidR="00FA557B" w:rsidRDefault="00FA557B" w:rsidP="00FA557B">
      <w:pPr>
        <w:ind w:left="-567" w:right="-987"/>
      </w:pPr>
      <w:r w:rsidRPr="00FA557B">
        <w:rPr>
          <w:noProof/>
        </w:rPr>
        <w:drawing>
          <wp:inline distT="0" distB="0" distL="0" distR="0" wp14:anchorId="43C2540E" wp14:editId="5062C06C">
            <wp:extent cx="9765741" cy="4175760"/>
            <wp:effectExtent l="0" t="0" r="635" b="2540"/>
            <wp:docPr id="12182435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243504" name=""/>
                    <pic:cNvPicPr/>
                  </pic:nvPicPr>
                  <pic:blipFill>
                    <a:blip r:embed="rId21"/>
                    <a:stretch>
                      <a:fillRect/>
                    </a:stretch>
                  </pic:blipFill>
                  <pic:spPr>
                    <a:xfrm>
                      <a:off x="0" y="0"/>
                      <a:ext cx="9788230" cy="4185376"/>
                    </a:xfrm>
                    <a:prstGeom prst="rect">
                      <a:avLst/>
                    </a:prstGeom>
                  </pic:spPr>
                </pic:pic>
              </a:graphicData>
            </a:graphic>
          </wp:inline>
        </w:drawing>
      </w:r>
    </w:p>
    <w:p w14:paraId="57E8F468" w14:textId="77777777" w:rsidR="00FA557B" w:rsidRDefault="00FA557B" w:rsidP="0004161D"/>
    <w:p w14:paraId="0432BDCB" w14:textId="77777777" w:rsidR="00FA557B" w:rsidRPr="0004161D" w:rsidRDefault="00FA557B" w:rsidP="0004161D"/>
    <w:p w14:paraId="4CC8A39B" w14:textId="77777777" w:rsidR="00FA557B" w:rsidRDefault="00FA557B">
      <w:pPr>
        <w:sectPr w:rsidR="00FA557B" w:rsidSect="00FA557B">
          <w:pgSz w:w="16817" w:h="11901" w:orient="landscape"/>
          <w:pgMar w:top="1077" w:right="1622" w:bottom="1077" w:left="1440" w:header="720" w:footer="720" w:gutter="0"/>
          <w:cols w:space="720"/>
          <w:titlePg/>
          <w:docGrid w:linePitch="360"/>
        </w:sectPr>
      </w:pPr>
    </w:p>
    <w:p w14:paraId="3554D198" w14:textId="2C81532E" w:rsidR="00E60955" w:rsidRDefault="00E60955" w:rsidP="00BD141A">
      <w:pPr>
        <w:pStyle w:val="Heading1"/>
      </w:pPr>
      <w:bookmarkStart w:id="20" w:name="_Toc239173050"/>
      <w:r w:rsidRPr="00945C16">
        <w:lastRenderedPageBreak/>
        <w:t>Connections to other SEEA accounts</w:t>
      </w:r>
      <w:bookmarkEnd w:id="20"/>
    </w:p>
    <w:p w14:paraId="05C2E70B" w14:textId="5A894C1A" w:rsidR="00E60955" w:rsidRDefault="00B23CA1" w:rsidP="00E60955">
      <w:pPr>
        <w:pStyle w:val="Paragraph"/>
        <w:rPr>
          <w:lang w:val="en-GB"/>
        </w:rPr>
      </w:pPr>
      <w:r w:rsidRPr="00CE712C">
        <w:rPr>
          <w:lang w:val="en-GB"/>
        </w:rPr>
        <w:t>T</w:t>
      </w:r>
      <w:r w:rsidR="00E60955" w:rsidRPr="00CE712C">
        <w:rPr>
          <w:lang w:val="en-GB"/>
        </w:rPr>
        <w:t xml:space="preserve">here </w:t>
      </w:r>
      <w:r w:rsidR="00E60955" w:rsidRPr="00E60955">
        <w:t>are</w:t>
      </w:r>
      <w:r w:rsidR="00E60955" w:rsidRPr="00CE712C">
        <w:rPr>
          <w:lang w:val="en-GB"/>
        </w:rPr>
        <w:t xml:space="preserve"> </w:t>
      </w:r>
      <w:proofErr w:type="gramStart"/>
      <w:r w:rsidR="00E60955" w:rsidRPr="00CE712C">
        <w:rPr>
          <w:lang w:val="en-GB"/>
        </w:rPr>
        <w:t>a number of</w:t>
      </w:r>
      <w:proofErr w:type="gramEnd"/>
      <w:r w:rsidR="00E60955" w:rsidRPr="00CE712C">
        <w:rPr>
          <w:lang w:val="en-GB"/>
        </w:rPr>
        <w:t xml:space="preserve"> connections</w:t>
      </w:r>
      <w:r w:rsidR="00DA426D" w:rsidRPr="00CE712C">
        <w:rPr>
          <w:lang w:val="en-GB"/>
        </w:rPr>
        <w:t xml:space="preserve"> between carbon stock accounts and other accounts </w:t>
      </w:r>
      <w:r w:rsidR="00E60955" w:rsidRPr="00CE712C">
        <w:rPr>
          <w:lang w:val="en-GB"/>
        </w:rPr>
        <w:t xml:space="preserve">in the SEEA </w:t>
      </w:r>
      <w:r w:rsidR="005E3C45" w:rsidRPr="00CE712C">
        <w:rPr>
          <w:lang w:val="en-GB"/>
        </w:rPr>
        <w:t>CF</w:t>
      </w:r>
      <w:r w:rsidR="00DA426D" w:rsidRPr="00CE712C">
        <w:rPr>
          <w:lang w:val="en-GB"/>
        </w:rPr>
        <w:t xml:space="preserve">. </w:t>
      </w:r>
      <w:r w:rsidR="0008492D">
        <w:rPr>
          <w:lang w:val="en-GB"/>
        </w:rPr>
        <w:t xml:space="preserve">It is proposed that the updated SEEA CF include short descriptions of the links to the following </w:t>
      </w:r>
      <w:r w:rsidR="00FA557B">
        <w:rPr>
          <w:lang w:val="en-GB"/>
        </w:rPr>
        <w:t xml:space="preserve">SEEA CF </w:t>
      </w:r>
      <w:r w:rsidR="0008492D">
        <w:rPr>
          <w:lang w:val="en-GB"/>
        </w:rPr>
        <w:t xml:space="preserve">accounts </w:t>
      </w:r>
      <w:r w:rsidR="00DA426D" w:rsidRPr="00CE712C">
        <w:rPr>
          <w:lang w:val="en-GB"/>
        </w:rPr>
        <w:t>to support integration across the accounting system.</w:t>
      </w:r>
      <w:r w:rsidR="00E60955" w:rsidRPr="00CE712C">
        <w:rPr>
          <w:lang w:val="en-GB"/>
        </w:rPr>
        <w:t xml:space="preserve"> </w:t>
      </w:r>
    </w:p>
    <w:p w14:paraId="2126460C" w14:textId="1399CDCC" w:rsidR="00E60955" w:rsidRPr="00FA557B" w:rsidRDefault="00E60955" w:rsidP="00064722">
      <w:pPr>
        <w:pStyle w:val="ListParagraph"/>
        <w:numPr>
          <w:ilvl w:val="1"/>
          <w:numId w:val="3"/>
        </w:numPr>
        <w:spacing w:after="120"/>
        <w:ind w:left="1276" w:right="724"/>
        <w:jc w:val="both"/>
        <w:rPr>
          <w:rFonts w:asciiTheme="minorHAnsi" w:hAnsiTheme="minorHAnsi" w:cstheme="minorHAnsi"/>
          <w:lang w:val="en-GB"/>
        </w:rPr>
      </w:pPr>
      <w:r w:rsidRPr="0008492D">
        <w:rPr>
          <w:rFonts w:asciiTheme="minorHAnsi" w:hAnsiTheme="minorHAnsi" w:cstheme="minorHAnsi"/>
          <w:b/>
          <w:bCs/>
          <w:lang w:val="en-GB"/>
        </w:rPr>
        <w:t xml:space="preserve">Air </w:t>
      </w:r>
      <w:r w:rsidRPr="0008492D">
        <w:rPr>
          <w:rFonts w:asciiTheme="minorHAnsi" w:hAnsiTheme="minorHAnsi" w:cstheme="minorHAnsi"/>
          <w:b/>
          <w:bCs/>
          <w:lang w:val="en-GB" w:eastAsia="en-US"/>
        </w:rPr>
        <w:t>emissions</w:t>
      </w:r>
      <w:r w:rsidRPr="0008492D">
        <w:rPr>
          <w:rFonts w:asciiTheme="minorHAnsi" w:hAnsiTheme="minorHAnsi" w:cstheme="minorHAnsi"/>
          <w:b/>
          <w:bCs/>
          <w:lang w:val="en-GB"/>
        </w:rPr>
        <w:t xml:space="preserve"> accounts for GHG emissions</w:t>
      </w:r>
      <w:r w:rsidRPr="00064722">
        <w:rPr>
          <w:rFonts w:asciiTheme="minorHAnsi" w:hAnsiTheme="minorHAnsi" w:cstheme="minorHAnsi"/>
          <w:lang w:val="en-GB"/>
        </w:rPr>
        <w:t xml:space="preserve"> to ensure coherence between stocks and </w:t>
      </w:r>
      <w:r w:rsidRPr="00FA557B">
        <w:rPr>
          <w:rFonts w:asciiTheme="minorHAnsi" w:hAnsiTheme="minorHAnsi" w:cstheme="minorHAnsi"/>
          <w:lang w:val="en-GB"/>
        </w:rPr>
        <w:t>flows of carbon</w:t>
      </w:r>
      <w:r w:rsidR="00B26C71" w:rsidRPr="00FA557B">
        <w:rPr>
          <w:rFonts w:asciiTheme="minorHAnsi" w:hAnsiTheme="minorHAnsi" w:cstheme="minorHAnsi"/>
          <w:lang w:val="en-GB"/>
        </w:rPr>
        <w:t xml:space="preserve">. </w:t>
      </w:r>
      <w:r w:rsidR="00893F03" w:rsidRPr="00FA557B">
        <w:rPr>
          <w:rFonts w:asciiTheme="minorHAnsi" w:hAnsiTheme="minorHAnsi" w:cstheme="minorHAnsi"/>
          <w:lang w:val="en-GB"/>
        </w:rPr>
        <w:t xml:space="preserve">The alignment required will relate to flows of carbon </w:t>
      </w:r>
      <w:r w:rsidR="00A32311" w:rsidRPr="00FA557B">
        <w:rPr>
          <w:rFonts w:asciiTheme="minorHAnsi" w:hAnsiTheme="minorHAnsi" w:cstheme="minorHAnsi"/>
          <w:lang w:val="en-GB"/>
        </w:rPr>
        <w:t>between</w:t>
      </w:r>
      <w:r w:rsidR="00893F03" w:rsidRPr="00FA557B">
        <w:rPr>
          <w:rFonts w:asciiTheme="minorHAnsi" w:hAnsiTheme="minorHAnsi" w:cstheme="minorHAnsi"/>
          <w:lang w:val="en-GB"/>
        </w:rPr>
        <w:t xml:space="preserve"> the economy </w:t>
      </w:r>
      <w:r w:rsidR="00A32311" w:rsidRPr="00FA557B">
        <w:rPr>
          <w:rFonts w:asciiTheme="minorHAnsi" w:hAnsiTheme="minorHAnsi" w:cstheme="minorHAnsi"/>
          <w:lang w:val="en-GB"/>
        </w:rPr>
        <w:t xml:space="preserve">and </w:t>
      </w:r>
      <w:r w:rsidR="00893F03" w:rsidRPr="00FA557B">
        <w:rPr>
          <w:rFonts w:asciiTheme="minorHAnsi" w:hAnsiTheme="minorHAnsi" w:cstheme="minorHAnsi"/>
          <w:lang w:val="en-GB"/>
        </w:rPr>
        <w:t>the atmosphere</w:t>
      </w:r>
      <w:r w:rsidR="00A32311" w:rsidRPr="00FA557B">
        <w:rPr>
          <w:rFonts w:asciiTheme="minorHAnsi" w:hAnsiTheme="minorHAnsi" w:cstheme="minorHAnsi"/>
          <w:lang w:val="en-GB"/>
        </w:rPr>
        <w:t xml:space="preserve">. Specific issues will concern the </w:t>
      </w:r>
      <w:r w:rsidR="00155BBF" w:rsidRPr="00FA557B">
        <w:rPr>
          <w:rFonts w:asciiTheme="minorHAnsi" w:hAnsiTheme="minorHAnsi" w:cstheme="minorHAnsi"/>
          <w:lang w:val="en-GB"/>
        </w:rPr>
        <w:t xml:space="preserve">consistent treatment of flows related to LULUCF emissions, </w:t>
      </w:r>
      <w:r w:rsidR="008E2DC0" w:rsidRPr="00FA557B">
        <w:rPr>
          <w:rFonts w:asciiTheme="minorHAnsi" w:hAnsiTheme="minorHAnsi" w:cstheme="minorHAnsi"/>
          <w:lang w:val="en-GB"/>
        </w:rPr>
        <w:t>carbon capture and storage and biological resources</w:t>
      </w:r>
      <w:r w:rsidR="00FA557B" w:rsidRPr="00FA557B">
        <w:rPr>
          <w:rFonts w:asciiTheme="minorHAnsi" w:hAnsiTheme="minorHAnsi" w:cstheme="minorHAnsi"/>
          <w:lang w:val="en-GB"/>
        </w:rPr>
        <w:t xml:space="preserve">, as well as </w:t>
      </w:r>
      <w:r w:rsidR="00FA557B">
        <w:rPr>
          <w:rFonts w:asciiTheme="minorHAnsi" w:hAnsiTheme="minorHAnsi" w:cstheme="minorHAnsi"/>
          <w:lang w:val="en-GB"/>
        </w:rPr>
        <w:t xml:space="preserve">how to </w:t>
      </w:r>
      <w:r w:rsidR="00FA557B" w:rsidRPr="00FA557B">
        <w:rPr>
          <w:rFonts w:asciiTheme="minorHAnsi" w:hAnsiTheme="minorHAnsi" w:cstheme="minorHAnsi"/>
          <w:lang w:val="en-GB"/>
        </w:rPr>
        <w:t>record information on the global warming potential of some carbon related flows e.g. methane, and the links to recording other non-carbon GHG emissions e.g. nitrous oxide.</w:t>
      </w:r>
    </w:p>
    <w:p w14:paraId="545A04EA" w14:textId="44373E2F" w:rsidR="00E60955" w:rsidRPr="00064722" w:rsidRDefault="00E60955" w:rsidP="00064722">
      <w:pPr>
        <w:pStyle w:val="ListParagraph"/>
        <w:numPr>
          <w:ilvl w:val="1"/>
          <w:numId w:val="3"/>
        </w:numPr>
        <w:spacing w:after="120"/>
        <w:ind w:left="1276" w:right="724"/>
        <w:jc w:val="both"/>
        <w:rPr>
          <w:rFonts w:asciiTheme="minorHAnsi" w:hAnsiTheme="minorHAnsi" w:cstheme="minorHAnsi"/>
          <w:lang w:val="en-GB"/>
        </w:rPr>
      </w:pPr>
      <w:r w:rsidRPr="0008492D">
        <w:rPr>
          <w:rFonts w:asciiTheme="minorHAnsi" w:hAnsiTheme="minorHAnsi" w:cstheme="minorHAnsi"/>
          <w:b/>
          <w:bCs/>
          <w:lang w:val="en-GB"/>
        </w:rPr>
        <w:t>Energy flow accounts</w:t>
      </w:r>
      <w:r w:rsidRPr="00064722">
        <w:rPr>
          <w:rFonts w:asciiTheme="minorHAnsi" w:hAnsiTheme="minorHAnsi" w:cstheme="minorHAnsi"/>
          <w:lang w:val="en-GB"/>
        </w:rPr>
        <w:t xml:space="preserve"> to ensure coherence between the supply and use of fossil fuels and stocks and flows of carbon</w:t>
      </w:r>
      <w:r w:rsidR="00951CCF">
        <w:rPr>
          <w:rFonts w:asciiTheme="minorHAnsi" w:hAnsiTheme="minorHAnsi" w:cstheme="minorHAnsi"/>
          <w:lang w:val="en-GB"/>
        </w:rPr>
        <w:t xml:space="preserve">. The alignment here will relate to changes in stocks of fossil fuel resources in the </w:t>
      </w:r>
      <w:r w:rsidR="005B16AA">
        <w:rPr>
          <w:rFonts w:asciiTheme="minorHAnsi" w:hAnsiTheme="minorHAnsi" w:cstheme="minorHAnsi"/>
          <w:lang w:val="en-GB"/>
        </w:rPr>
        <w:t>geosphere and inventories of petroleum products</w:t>
      </w:r>
      <w:r w:rsidR="006A65AC">
        <w:rPr>
          <w:rFonts w:asciiTheme="minorHAnsi" w:hAnsiTheme="minorHAnsi" w:cstheme="minorHAnsi"/>
          <w:lang w:val="en-GB"/>
        </w:rPr>
        <w:t>, gas</w:t>
      </w:r>
      <w:r w:rsidR="005B16AA">
        <w:rPr>
          <w:rFonts w:asciiTheme="minorHAnsi" w:hAnsiTheme="minorHAnsi" w:cstheme="minorHAnsi"/>
          <w:lang w:val="en-GB"/>
        </w:rPr>
        <w:t xml:space="preserve"> and coal in the economy.</w:t>
      </w:r>
    </w:p>
    <w:p w14:paraId="393D14E9" w14:textId="23482FAB" w:rsidR="00683098" w:rsidRPr="00064722" w:rsidRDefault="00683098" w:rsidP="00683098">
      <w:pPr>
        <w:pStyle w:val="ListParagraph"/>
        <w:numPr>
          <w:ilvl w:val="1"/>
          <w:numId w:val="3"/>
        </w:numPr>
        <w:spacing w:after="120"/>
        <w:ind w:left="1276" w:right="724"/>
        <w:jc w:val="both"/>
        <w:rPr>
          <w:rFonts w:asciiTheme="minorHAnsi" w:hAnsiTheme="minorHAnsi" w:cstheme="minorHAnsi"/>
          <w:lang w:val="en-GB"/>
        </w:rPr>
      </w:pPr>
      <w:r w:rsidRPr="004B1B5E">
        <w:rPr>
          <w:rFonts w:asciiTheme="minorHAnsi" w:hAnsiTheme="minorHAnsi" w:cstheme="minorHAnsi"/>
          <w:b/>
          <w:bCs/>
          <w:lang w:val="en-GB"/>
        </w:rPr>
        <w:t>Mineral and energy resources ac</w:t>
      </w:r>
      <w:r w:rsidRPr="00064722">
        <w:rPr>
          <w:rFonts w:asciiTheme="minorHAnsi" w:hAnsiTheme="minorHAnsi" w:cstheme="minorHAnsi"/>
          <w:lang w:val="en-GB"/>
        </w:rPr>
        <w:t>counts to ensure coherence between the stocks and changes in stock of fossil fuels and stocks and flows of carbon</w:t>
      </w:r>
      <w:r w:rsidR="00CC1CB6">
        <w:rPr>
          <w:rFonts w:asciiTheme="minorHAnsi" w:hAnsiTheme="minorHAnsi" w:cstheme="minorHAnsi"/>
          <w:lang w:val="en-GB"/>
        </w:rPr>
        <w:t>.</w:t>
      </w:r>
    </w:p>
    <w:p w14:paraId="1C7B5496" w14:textId="71532CAA" w:rsidR="00E60955" w:rsidRPr="00064722" w:rsidRDefault="00E60955" w:rsidP="00064722">
      <w:pPr>
        <w:pStyle w:val="ListParagraph"/>
        <w:numPr>
          <w:ilvl w:val="1"/>
          <w:numId w:val="3"/>
        </w:numPr>
        <w:spacing w:after="120"/>
        <w:ind w:left="1276" w:right="724"/>
        <w:jc w:val="both"/>
        <w:rPr>
          <w:rFonts w:asciiTheme="minorHAnsi" w:hAnsiTheme="minorHAnsi" w:cstheme="minorHAnsi"/>
          <w:lang w:val="en-GB"/>
        </w:rPr>
      </w:pPr>
      <w:r w:rsidRPr="004B1B5E">
        <w:rPr>
          <w:rFonts w:asciiTheme="minorHAnsi" w:hAnsiTheme="minorHAnsi" w:cstheme="minorHAnsi"/>
          <w:b/>
          <w:bCs/>
          <w:lang w:val="en-GB"/>
        </w:rPr>
        <w:t>Material flow accounts</w:t>
      </w:r>
      <w:r w:rsidRPr="00064722">
        <w:rPr>
          <w:rFonts w:asciiTheme="minorHAnsi" w:hAnsiTheme="minorHAnsi" w:cstheme="minorHAnsi"/>
          <w:lang w:val="en-GB"/>
        </w:rPr>
        <w:t xml:space="preserve"> and the potential to record inputs from the environment in the case of cultivated biological resources in terms of specific elements</w:t>
      </w:r>
      <w:r w:rsidR="00604099">
        <w:rPr>
          <w:rFonts w:asciiTheme="minorHAnsi" w:hAnsiTheme="minorHAnsi" w:cstheme="minorHAnsi"/>
          <w:lang w:val="en-GB"/>
        </w:rPr>
        <w:t xml:space="preserve">. The primary focus of alignment here is the delineation of the boundary between the biosphere and the economy in relation to </w:t>
      </w:r>
      <w:r w:rsidR="00E116E8">
        <w:rPr>
          <w:rFonts w:asciiTheme="minorHAnsi" w:hAnsiTheme="minorHAnsi" w:cstheme="minorHAnsi"/>
          <w:lang w:val="en-GB"/>
        </w:rPr>
        <w:t xml:space="preserve">cultivated biological resources. </w:t>
      </w:r>
    </w:p>
    <w:p w14:paraId="0CB68A46" w14:textId="6F37CAEE" w:rsidR="00FA557B" w:rsidRDefault="00E60955" w:rsidP="00064722">
      <w:pPr>
        <w:pStyle w:val="ListParagraph"/>
        <w:numPr>
          <w:ilvl w:val="1"/>
          <w:numId w:val="3"/>
        </w:numPr>
        <w:spacing w:after="120"/>
        <w:ind w:left="1276" w:right="724"/>
        <w:jc w:val="both"/>
        <w:rPr>
          <w:rFonts w:asciiTheme="minorHAnsi" w:hAnsiTheme="minorHAnsi" w:cstheme="minorHAnsi"/>
          <w:lang w:val="en-GB"/>
        </w:rPr>
      </w:pPr>
      <w:r w:rsidRPr="004B1B5E">
        <w:rPr>
          <w:rFonts w:asciiTheme="minorHAnsi" w:hAnsiTheme="minorHAnsi" w:cstheme="minorHAnsi"/>
          <w:b/>
          <w:bCs/>
          <w:lang w:val="en-GB"/>
        </w:rPr>
        <w:t>Timber resource accounts</w:t>
      </w:r>
      <w:r w:rsidRPr="00064722">
        <w:rPr>
          <w:rFonts w:asciiTheme="minorHAnsi" w:hAnsiTheme="minorHAnsi" w:cstheme="minorHAnsi"/>
          <w:lang w:val="en-GB"/>
        </w:rPr>
        <w:t xml:space="preserve"> </w:t>
      </w:r>
      <w:r w:rsidR="00FA557B" w:rsidRPr="00064722">
        <w:rPr>
          <w:rFonts w:asciiTheme="minorHAnsi" w:hAnsiTheme="minorHAnsi" w:cstheme="minorHAnsi"/>
          <w:lang w:val="en-GB"/>
        </w:rPr>
        <w:t xml:space="preserve">to ensure coherence between </w:t>
      </w:r>
      <w:r w:rsidR="00FA557B">
        <w:rPr>
          <w:rFonts w:asciiTheme="minorHAnsi" w:hAnsiTheme="minorHAnsi" w:cstheme="minorHAnsi"/>
          <w:lang w:val="en-GB"/>
        </w:rPr>
        <w:t xml:space="preserve">measures of carbon stock and </w:t>
      </w:r>
      <w:r w:rsidR="00FA557B" w:rsidRPr="00064722">
        <w:rPr>
          <w:rFonts w:asciiTheme="minorHAnsi" w:hAnsiTheme="minorHAnsi" w:cstheme="minorHAnsi"/>
          <w:lang w:val="en-GB"/>
        </w:rPr>
        <w:t>the stocks and changes in stock of timber resources</w:t>
      </w:r>
      <w:r w:rsidR="00FA557B">
        <w:rPr>
          <w:rFonts w:asciiTheme="minorHAnsi" w:hAnsiTheme="minorHAnsi" w:cstheme="minorHAnsi"/>
          <w:lang w:val="en-GB"/>
        </w:rPr>
        <w:t>.</w:t>
      </w:r>
    </w:p>
    <w:p w14:paraId="5BB3B20F" w14:textId="004B6CF3" w:rsidR="00E60955" w:rsidRPr="00064722" w:rsidRDefault="00E60955" w:rsidP="00064722">
      <w:pPr>
        <w:pStyle w:val="ListParagraph"/>
        <w:numPr>
          <w:ilvl w:val="1"/>
          <w:numId w:val="3"/>
        </w:numPr>
        <w:spacing w:after="120"/>
        <w:ind w:left="1276" w:right="724"/>
        <w:jc w:val="both"/>
        <w:rPr>
          <w:rFonts w:asciiTheme="minorHAnsi" w:hAnsiTheme="minorHAnsi" w:cstheme="minorHAnsi"/>
          <w:lang w:val="en-GB"/>
        </w:rPr>
      </w:pPr>
      <w:r w:rsidRPr="004B1B5E">
        <w:rPr>
          <w:rFonts w:asciiTheme="minorHAnsi" w:hAnsiTheme="minorHAnsi" w:cstheme="minorHAnsi"/>
          <w:b/>
          <w:bCs/>
          <w:lang w:val="en-GB"/>
        </w:rPr>
        <w:t>Forest land accounts</w:t>
      </w:r>
      <w:r w:rsidRPr="00064722">
        <w:rPr>
          <w:rFonts w:asciiTheme="minorHAnsi" w:hAnsiTheme="minorHAnsi" w:cstheme="minorHAnsi"/>
          <w:lang w:val="en-GB"/>
        </w:rPr>
        <w:t xml:space="preserve"> to ensure coherence between </w:t>
      </w:r>
      <w:r w:rsidR="00FA557B">
        <w:rPr>
          <w:rFonts w:asciiTheme="minorHAnsi" w:hAnsiTheme="minorHAnsi" w:cstheme="minorHAnsi"/>
          <w:lang w:val="en-GB"/>
        </w:rPr>
        <w:t xml:space="preserve">measures of carbon stock and </w:t>
      </w:r>
      <w:r w:rsidRPr="00064722">
        <w:rPr>
          <w:rFonts w:asciiTheme="minorHAnsi" w:hAnsiTheme="minorHAnsi" w:cstheme="minorHAnsi"/>
          <w:lang w:val="en-GB"/>
        </w:rPr>
        <w:t>the area of forests</w:t>
      </w:r>
      <w:r w:rsidR="00FA557B">
        <w:rPr>
          <w:rFonts w:asciiTheme="minorHAnsi" w:hAnsiTheme="minorHAnsi" w:cstheme="minorHAnsi"/>
          <w:lang w:val="en-GB"/>
        </w:rPr>
        <w:t xml:space="preserve"> in terms of both land use and land cover</w:t>
      </w:r>
      <w:r w:rsidR="00683098">
        <w:rPr>
          <w:rFonts w:asciiTheme="minorHAnsi" w:hAnsiTheme="minorHAnsi" w:cstheme="minorHAnsi"/>
          <w:lang w:val="en-GB"/>
        </w:rPr>
        <w:t xml:space="preserve">. The primary focus of alignment here is the delineation of the boundary between the biosphere and the economy in relation to cultivated biological resources but also of relevance will be alignment with </w:t>
      </w:r>
      <w:r w:rsidR="0013659A">
        <w:rPr>
          <w:rFonts w:asciiTheme="minorHAnsi" w:hAnsiTheme="minorHAnsi" w:cstheme="minorHAnsi"/>
          <w:lang w:val="en-GB"/>
        </w:rPr>
        <w:t>estimates of LULUCF emissions.</w:t>
      </w:r>
      <w:r w:rsidR="00FA557B">
        <w:rPr>
          <w:rFonts w:asciiTheme="minorHAnsi" w:hAnsiTheme="minorHAnsi" w:cstheme="minorHAnsi"/>
          <w:lang w:val="en-GB"/>
        </w:rPr>
        <w:t xml:space="preserve"> A discussion on the link to accounts for ecosystem extent could also be incorporated.</w:t>
      </w:r>
    </w:p>
    <w:p w14:paraId="17C2CB4F" w14:textId="200E1925" w:rsidR="00E60955" w:rsidRDefault="00E60955" w:rsidP="00064722">
      <w:pPr>
        <w:pStyle w:val="ListParagraph"/>
        <w:numPr>
          <w:ilvl w:val="1"/>
          <w:numId w:val="3"/>
        </w:numPr>
        <w:spacing w:after="120"/>
        <w:ind w:left="1276" w:right="724"/>
        <w:jc w:val="both"/>
        <w:rPr>
          <w:rFonts w:asciiTheme="minorHAnsi" w:hAnsiTheme="minorHAnsi" w:cstheme="minorHAnsi"/>
          <w:lang w:val="en-GB"/>
        </w:rPr>
      </w:pPr>
      <w:r w:rsidRPr="004B1B5E">
        <w:rPr>
          <w:rFonts w:asciiTheme="minorHAnsi" w:hAnsiTheme="minorHAnsi" w:cstheme="minorHAnsi"/>
          <w:b/>
          <w:bCs/>
          <w:lang w:val="en-GB"/>
        </w:rPr>
        <w:t>Soil resource accounts</w:t>
      </w:r>
      <w:r w:rsidRPr="00064722">
        <w:rPr>
          <w:rFonts w:asciiTheme="minorHAnsi" w:hAnsiTheme="minorHAnsi" w:cstheme="minorHAnsi"/>
          <w:lang w:val="en-GB"/>
        </w:rPr>
        <w:t xml:space="preserve"> to ensure coherence between measures of the quality of soil resources and stocks of soil organic carbon</w:t>
      </w:r>
      <w:r w:rsidR="0013659A">
        <w:rPr>
          <w:rFonts w:asciiTheme="minorHAnsi" w:hAnsiTheme="minorHAnsi" w:cstheme="minorHAnsi"/>
          <w:lang w:val="en-GB"/>
        </w:rPr>
        <w:t>.</w:t>
      </w:r>
    </w:p>
    <w:p w14:paraId="21D51074" w14:textId="08266FA4" w:rsidR="00F51023" w:rsidRDefault="003866ED" w:rsidP="0087725B">
      <w:pPr>
        <w:pStyle w:val="Paragraph"/>
      </w:pPr>
      <w:r w:rsidRPr="0087725B">
        <w:rPr>
          <w:lang w:val="en-GB"/>
        </w:rPr>
        <w:t xml:space="preserve">In addition, </w:t>
      </w:r>
      <w:r w:rsidR="0087725B" w:rsidRPr="0087725B">
        <w:rPr>
          <w:lang w:val="en-GB"/>
        </w:rPr>
        <w:t xml:space="preserve">there are close links between carbon stock accounts and ecosystem </w:t>
      </w:r>
      <w:r w:rsidR="00FA557B">
        <w:rPr>
          <w:lang w:val="en-GB"/>
        </w:rPr>
        <w:t xml:space="preserve">condition and ecosystem service </w:t>
      </w:r>
      <w:r w:rsidR="0087725B" w:rsidRPr="0087725B">
        <w:rPr>
          <w:lang w:val="en-GB"/>
        </w:rPr>
        <w:t>accounts.</w:t>
      </w:r>
      <w:r w:rsidRPr="0087725B">
        <w:rPr>
          <w:lang w:val="en-GB"/>
        </w:rPr>
        <w:t xml:space="preserve"> </w:t>
      </w:r>
      <w:r w:rsidR="0087725B">
        <w:rPr>
          <w:lang w:val="en-GB"/>
        </w:rPr>
        <w:t xml:space="preserve">Knowing this, </w:t>
      </w:r>
      <w:r w:rsidR="0087725B">
        <w:t>i</w:t>
      </w:r>
      <w:r w:rsidR="000A5030" w:rsidRPr="003179D4">
        <w:t xml:space="preserve">t </w:t>
      </w:r>
      <w:r w:rsidR="00995E96">
        <w:t xml:space="preserve">is proposed </w:t>
      </w:r>
      <w:r w:rsidR="000A5030" w:rsidRPr="003179D4">
        <w:t xml:space="preserve">to describe specific </w:t>
      </w:r>
      <w:r w:rsidR="00CE712C">
        <w:t xml:space="preserve">ways in </w:t>
      </w:r>
      <w:r w:rsidR="000A5030" w:rsidRPr="003179D4">
        <w:t xml:space="preserve">which </w:t>
      </w:r>
      <w:r w:rsidR="00995E96">
        <w:t xml:space="preserve">data from the </w:t>
      </w:r>
      <w:r w:rsidR="000A5030" w:rsidRPr="003179D4">
        <w:t xml:space="preserve">carbon stock accounts </w:t>
      </w:r>
      <w:r w:rsidR="00995E96">
        <w:t xml:space="preserve">proposed here </w:t>
      </w:r>
      <w:r w:rsidR="00CE712C">
        <w:t>can</w:t>
      </w:r>
      <w:r w:rsidR="000829BC">
        <w:t xml:space="preserve"> be </w:t>
      </w:r>
      <w:r w:rsidR="00995E96">
        <w:t xml:space="preserve">used to support the </w:t>
      </w:r>
      <w:r w:rsidR="00A7241A">
        <w:t>compilation of SEEA EA ecosystem condition and ecosystem services accounts</w:t>
      </w:r>
      <w:r w:rsidR="00755B1F">
        <w:t>, particularly global climate regulation services</w:t>
      </w:r>
      <w:r w:rsidR="00F51023">
        <w:t xml:space="preserve">. </w:t>
      </w:r>
    </w:p>
    <w:p w14:paraId="236D54C1" w14:textId="137CC61D" w:rsidR="000A5030" w:rsidRDefault="00F51023" w:rsidP="0087725B">
      <w:pPr>
        <w:pStyle w:val="Paragraph"/>
      </w:pPr>
      <w:r>
        <w:t>It is also expected that the compilation of carbon stock accounts and ecosystem accounts will utilise</w:t>
      </w:r>
      <w:r w:rsidR="00F1069A">
        <w:t xml:space="preserve"> similar data inputs, particularly in relation to carbon in the biosphere. For example, data </w:t>
      </w:r>
      <w:r w:rsidR="00F1069A">
        <w:lastRenderedPageBreak/>
        <w:t xml:space="preserve">on </w:t>
      </w:r>
      <w:r w:rsidR="00400FFB">
        <w:t>ecosystem extent, vegetation cover, tree canopy and density, soil organic carbon</w:t>
      </w:r>
      <w:r w:rsidR="00313521">
        <w:t xml:space="preserve">, will be relevant across </w:t>
      </w:r>
      <w:proofErr w:type="gramStart"/>
      <w:r w:rsidR="00313521">
        <w:t>all of</w:t>
      </w:r>
      <w:proofErr w:type="gramEnd"/>
      <w:r w:rsidR="00313521">
        <w:t xml:space="preserve"> these </w:t>
      </w:r>
      <w:proofErr w:type="spellStart"/>
      <w:r w:rsidR="00313521">
        <w:t>accunts</w:t>
      </w:r>
      <w:proofErr w:type="spellEnd"/>
      <w:r w:rsidR="00313521">
        <w:t xml:space="preserve"> and hence a short description of </w:t>
      </w:r>
      <w:r w:rsidR="001B605C">
        <w:t xml:space="preserve">the benefits of using consistent </w:t>
      </w:r>
      <w:r w:rsidR="000A5030" w:rsidRPr="003179D4">
        <w:t>classifications</w:t>
      </w:r>
      <w:r w:rsidR="001B605C">
        <w:t xml:space="preserve"> and</w:t>
      </w:r>
      <w:r w:rsidR="000A5030" w:rsidRPr="003179D4">
        <w:t xml:space="preserve"> spatial </w:t>
      </w:r>
      <w:r w:rsidR="00A06793">
        <w:t>granularity</w:t>
      </w:r>
      <w:r w:rsidR="00C9587D">
        <w:t xml:space="preserve">, among other aspects, will be noted. </w:t>
      </w:r>
      <w:r w:rsidR="009514E0">
        <w:t xml:space="preserve">In this </w:t>
      </w:r>
      <w:r w:rsidR="005A5453">
        <w:t>regard</w:t>
      </w:r>
      <w:r w:rsidR="009514E0">
        <w:t xml:space="preserve">, the SEEA CF and the SEEA EA should be considered a single integrated </w:t>
      </w:r>
      <w:proofErr w:type="gramStart"/>
      <w:r w:rsidR="009514E0">
        <w:t>framework</w:t>
      </w:r>
      <w:proofErr w:type="gramEnd"/>
      <w:r w:rsidR="00B32147">
        <w:t xml:space="preserve"> and this </w:t>
      </w:r>
      <w:proofErr w:type="gramStart"/>
      <w:r w:rsidR="00B32147">
        <w:t>particular aspect</w:t>
      </w:r>
      <w:proofErr w:type="gramEnd"/>
      <w:r w:rsidR="00B32147">
        <w:t xml:space="preserve"> of the connection </w:t>
      </w:r>
      <w:r w:rsidR="005D1635">
        <w:t>may be considered further in SEEA CF update issue A1 on the links between the SEEA CF and the SEEA EA.</w:t>
      </w:r>
    </w:p>
    <w:p w14:paraId="6E8B47B8" w14:textId="73E1D78B" w:rsidR="00A14FE1" w:rsidRDefault="00AA4B02" w:rsidP="006D5B88">
      <w:pPr>
        <w:pStyle w:val="Paragraph"/>
        <w:rPr>
          <w:lang w:val="en-GB"/>
        </w:rPr>
      </w:pPr>
      <w:r>
        <w:rPr>
          <w:lang w:val="en-GB"/>
        </w:rPr>
        <w:t xml:space="preserve">More generally, </w:t>
      </w:r>
      <w:r w:rsidR="002F4F28">
        <w:rPr>
          <w:lang w:val="en-GB"/>
        </w:rPr>
        <w:t xml:space="preserve">it is </w:t>
      </w:r>
      <w:r w:rsidR="00C06BEA">
        <w:rPr>
          <w:lang w:val="en-GB"/>
        </w:rPr>
        <w:t>considered relevant to recognise</w:t>
      </w:r>
      <w:r w:rsidR="002F4F28">
        <w:rPr>
          <w:lang w:val="en-GB"/>
        </w:rPr>
        <w:t xml:space="preserve"> </w:t>
      </w:r>
      <w:r w:rsidR="0079260D">
        <w:rPr>
          <w:lang w:val="en-GB"/>
        </w:rPr>
        <w:t xml:space="preserve">in the introductory chapters </w:t>
      </w:r>
      <w:r w:rsidR="002F4F28">
        <w:rPr>
          <w:lang w:val="en-GB"/>
        </w:rPr>
        <w:t xml:space="preserve">the role of the SEEA in describing an integrated and comprehensive framework for the measurement of the relationship between </w:t>
      </w:r>
      <w:r w:rsidR="0012217D">
        <w:rPr>
          <w:lang w:val="en-GB"/>
        </w:rPr>
        <w:t xml:space="preserve">the </w:t>
      </w:r>
      <w:r w:rsidR="002F4F28">
        <w:rPr>
          <w:lang w:val="en-GB"/>
        </w:rPr>
        <w:t xml:space="preserve">environment and the economy. </w:t>
      </w:r>
      <w:r w:rsidR="0012217D">
        <w:rPr>
          <w:lang w:val="en-GB"/>
        </w:rPr>
        <w:t xml:space="preserve">While it is thus important that each account within the overall framing have a purpose and </w:t>
      </w:r>
      <w:proofErr w:type="gramStart"/>
      <w:r w:rsidR="0012217D">
        <w:rPr>
          <w:lang w:val="en-GB"/>
        </w:rPr>
        <w:t>meaning in its own right, there</w:t>
      </w:r>
      <w:proofErr w:type="gramEnd"/>
      <w:r w:rsidR="0012217D">
        <w:rPr>
          <w:lang w:val="en-GB"/>
        </w:rPr>
        <w:t xml:space="preserve"> is also a significant </w:t>
      </w:r>
      <w:r w:rsidR="00D955A2">
        <w:rPr>
          <w:lang w:val="en-GB"/>
        </w:rPr>
        <w:t xml:space="preserve">benefit that emerges from describing a more complete system. </w:t>
      </w:r>
      <w:r w:rsidR="0003056D">
        <w:rPr>
          <w:lang w:val="en-GB"/>
        </w:rPr>
        <w:t xml:space="preserve">From this </w:t>
      </w:r>
      <w:proofErr w:type="gramStart"/>
      <w:r w:rsidR="0003056D">
        <w:rPr>
          <w:lang w:val="en-GB"/>
        </w:rPr>
        <w:t>perspective, and</w:t>
      </w:r>
      <w:proofErr w:type="gramEnd"/>
      <w:r w:rsidR="0003056D">
        <w:rPr>
          <w:lang w:val="en-GB"/>
        </w:rPr>
        <w:t xml:space="preserve"> recognizing that carbon is a fundamental element underpinning </w:t>
      </w:r>
      <w:r w:rsidR="0001121E">
        <w:rPr>
          <w:lang w:val="en-GB"/>
        </w:rPr>
        <w:t xml:space="preserve">our society and economy, a carbon stock account provides an organizing framework for </w:t>
      </w:r>
      <w:r w:rsidR="00A13B32">
        <w:rPr>
          <w:lang w:val="en-GB"/>
        </w:rPr>
        <w:t xml:space="preserve">connecting many aspects of the environment-economy relationship. </w:t>
      </w:r>
    </w:p>
    <w:p w14:paraId="0CB03AED" w14:textId="77777777" w:rsidR="00E4647F" w:rsidRDefault="00E4647F" w:rsidP="00E4647F">
      <w:pPr>
        <w:pStyle w:val="Paragraph"/>
        <w:numPr>
          <w:ilvl w:val="0"/>
          <w:numId w:val="0"/>
        </w:numPr>
        <w:ind w:left="720" w:hanging="360"/>
        <w:rPr>
          <w:lang w:val="en-GB"/>
        </w:rPr>
      </w:pPr>
    </w:p>
    <w:p w14:paraId="559BF748" w14:textId="701306A5" w:rsidR="00E4647F" w:rsidRDefault="00E4647F" w:rsidP="002642C8">
      <w:pPr>
        <w:pStyle w:val="Heading1"/>
      </w:pPr>
      <w:bookmarkStart w:id="21" w:name="_Toc239173051"/>
      <w:r w:rsidRPr="00633DC4">
        <w:t>Connections to UNFCCC reporting</w:t>
      </w:r>
      <w:r w:rsidR="00FA557B">
        <w:t xml:space="preserve"> &lt;&lt;NB: To be further developed.&gt;&gt;</w:t>
      </w:r>
      <w:bookmarkEnd w:id="21"/>
    </w:p>
    <w:p w14:paraId="1C6EDB6E" w14:textId="130E65F3" w:rsidR="00E4647F" w:rsidRPr="00226595" w:rsidRDefault="005C632C" w:rsidP="00E4647F">
      <w:pPr>
        <w:pStyle w:val="Paragraph"/>
      </w:pPr>
      <w:r>
        <w:rPr>
          <w:lang w:val="en-GB"/>
        </w:rPr>
        <w:t>The prime</w:t>
      </w:r>
      <w:r w:rsidR="00E4647F">
        <w:rPr>
          <w:lang w:val="en-GB"/>
        </w:rPr>
        <w:t xml:space="preserve"> motivation for compiling carbon stock accounts is to support the analysis and discussion of climate change and related policies</w:t>
      </w:r>
      <w:r w:rsidR="00C0277B">
        <w:rPr>
          <w:lang w:val="en-GB"/>
        </w:rPr>
        <w:t xml:space="preserve"> and to come to a better understanding of the economic implications of trends and measures related to changes in stocks and flows of C</w:t>
      </w:r>
      <w:r w:rsidR="00E4647F">
        <w:rPr>
          <w:lang w:val="en-GB"/>
        </w:rPr>
        <w:t>. In this context, a close connection exists to the motivations for reporting to the UNFCCC</w:t>
      </w:r>
      <w:proofErr w:type="gramStart"/>
      <w:r w:rsidR="00E4647F">
        <w:rPr>
          <w:lang w:val="en-GB"/>
        </w:rPr>
        <w:t xml:space="preserve"> and in particular</w:t>
      </w:r>
      <w:proofErr w:type="gramEnd"/>
      <w:r w:rsidR="00E4647F">
        <w:rPr>
          <w:lang w:val="en-GB"/>
        </w:rPr>
        <w:t xml:space="preserve"> the recording of LULUCF </w:t>
      </w:r>
      <w:r w:rsidR="002D20B2">
        <w:rPr>
          <w:lang w:val="en-GB"/>
        </w:rPr>
        <w:t xml:space="preserve">net </w:t>
      </w:r>
      <w:r w:rsidR="00E4647F">
        <w:rPr>
          <w:lang w:val="en-GB"/>
        </w:rPr>
        <w:t xml:space="preserve">emissions. An important consideration is that the motivation for UNFCCC reporting is understanding the additions of carbon to the atmosphere. In following this motivation there is thus no specific focus on the measurement of carbon in the geosphere or carbon in the economy </w:t>
      </w:r>
      <w:r w:rsidR="009350F6">
        <w:rPr>
          <w:lang w:val="en-GB"/>
        </w:rPr>
        <w:t>or the quality of reservoirs of carbon</w:t>
      </w:r>
      <w:r w:rsidR="00BF0FC2">
        <w:rPr>
          <w:lang w:val="en-GB"/>
        </w:rPr>
        <w:t xml:space="preserve">, </w:t>
      </w:r>
      <w:r w:rsidR="00E4647F">
        <w:rPr>
          <w:lang w:val="en-GB"/>
        </w:rPr>
        <w:t xml:space="preserve">and while there is some interest in carbon in the environment there is no specific focus on stocks of carbon from a reporting perspective. </w:t>
      </w:r>
    </w:p>
    <w:p w14:paraId="5B2B0C2F" w14:textId="6754584A" w:rsidR="00E4647F" w:rsidRPr="00C50259" w:rsidRDefault="00E4647F" w:rsidP="00E4647F">
      <w:pPr>
        <w:pStyle w:val="Paragraph"/>
      </w:pPr>
      <w:r>
        <w:rPr>
          <w:lang w:val="en-GB"/>
        </w:rPr>
        <w:t xml:space="preserve">Consequently, it is to be expected that there are differences between the UNFCCC/IPCC based reporting for carbon and the SEEA carbon stock account that are likely to be materially relevant for climate change policy. At the same time, it is possible to describe ways of using IPCC based data to support the compilation of SEEA carbon stock accounts. The differences and linkages between the SEEA carbon stock accounts and UNFCCC reporting are detailed in this section. </w:t>
      </w:r>
    </w:p>
    <w:p w14:paraId="373D536C" w14:textId="73A1A77B" w:rsidR="00E4647F" w:rsidRPr="007C0CBC" w:rsidRDefault="00E4647F" w:rsidP="00E4647F">
      <w:pPr>
        <w:pStyle w:val="Paragraph"/>
      </w:pPr>
      <w:r>
        <w:t>While n</w:t>
      </w:r>
      <w:r w:rsidRPr="007C0CBC">
        <w:t>ational GHG inventory data can be used to compile SEEA accounts</w:t>
      </w:r>
      <w:r>
        <w:t xml:space="preserve">, fully compiled </w:t>
      </w:r>
      <w:r w:rsidRPr="007C0CBC">
        <w:t xml:space="preserve">SEEA carbon stock accounts are more comprehensive and </w:t>
      </w:r>
      <w:r>
        <w:t>hence can</w:t>
      </w:r>
      <w:r w:rsidRPr="007C0CBC">
        <w:t xml:space="preserve"> be valuable for enhancing GHG inventory reporting</w:t>
      </w:r>
      <w:r>
        <w:t xml:space="preserve"> and for informing climate policies. The following points are noted:</w:t>
      </w:r>
    </w:p>
    <w:p w14:paraId="46B615B3" w14:textId="7141E50F" w:rsidR="00E4647F" w:rsidRPr="00C253D0" w:rsidRDefault="00E4647F">
      <w:pPr>
        <w:pStyle w:val="ListParagraph"/>
        <w:numPr>
          <w:ilvl w:val="0"/>
          <w:numId w:val="33"/>
        </w:numPr>
        <w:spacing w:after="120"/>
        <w:ind w:left="1134" w:hanging="357"/>
        <w:rPr>
          <w:rFonts w:asciiTheme="minorHAnsi" w:hAnsiTheme="minorHAnsi" w:cstheme="minorHAnsi"/>
        </w:rPr>
      </w:pPr>
      <w:r w:rsidRPr="00C253D0">
        <w:rPr>
          <w:rFonts w:asciiTheme="minorHAnsi" w:hAnsiTheme="minorHAnsi" w:cstheme="minorHAnsi"/>
        </w:rPr>
        <w:t xml:space="preserve">Differences in measurement scope between SEEA and IPCC data include stocks, gross additions and reductions, all land areas (not </w:t>
      </w:r>
      <w:r w:rsidR="00DD145B">
        <w:rPr>
          <w:rFonts w:asciiTheme="minorHAnsi" w:hAnsiTheme="minorHAnsi" w:cstheme="minorHAnsi"/>
        </w:rPr>
        <w:t>excluding emissions and sequestration in non-managed lands</w:t>
      </w:r>
      <w:r w:rsidRPr="00C253D0">
        <w:rPr>
          <w:rFonts w:asciiTheme="minorHAnsi" w:hAnsiTheme="minorHAnsi" w:cstheme="minorHAnsi"/>
        </w:rPr>
        <w:t>)</w:t>
      </w:r>
      <w:r w:rsidR="00557F3B">
        <w:rPr>
          <w:rFonts w:asciiTheme="minorHAnsi" w:hAnsiTheme="minorHAnsi" w:cstheme="minorHAnsi"/>
        </w:rPr>
        <w:t xml:space="preserve">, </w:t>
      </w:r>
      <w:r w:rsidR="008D51DD">
        <w:rPr>
          <w:rFonts w:asciiTheme="minorHAnsi" w:hAnsiTheme="minorHAnsi" w:cstheme="minorHAnsi"/>
        </w:rPr>
        <w:t>and differentiating sources of changes in stocks</w:t>
      </w:r>
      <w:r w:rsidRPr="00C253D0">
        <w:rPr>
          <w:rFonts w:asciiTheme="minorHAnsi" w:hAnsiTheme="minorHAnsi" w:cstheme="minorHAnsi"/>
        </w:rPr>
        <w:t>.</w:t>
      </w:r>
    </w:p>
    <w:p w14:paraId="526B4819" w14:textId="77777777" w:rsidR="00E4647F" w:rsidRPr="00C253D0" w:rsidRDefault="00E4647F">
      <w:pPr>
        <w:pStyle w:val="ListParagraph"/>
        <w:numPr>
          <w:ilvl w:val="0"/>
          <w:numId w:val="33"/>
        </w:numPr>
        <w:spacing w:after="120"/>
        <w:ind w:left="1134" w:hanging="357"/>
        <w:rPr>
          <w:rFonts w:asciiTheme="minorHAnsi" w:hAnsiTheme="minorHAnsi" w:cstheme="minorHAnsi"/>
        </w:rPr>
      </w:pPr>
      <w:r w:rsidRPr="00C253D0">
        <w:rPr>
          <w:rFonts w:asciiTheme="minorHAnsi" w:hAnsiTheme="minorHAnsi" w:cstheme="minorHAnsi"/>
        </w:rPr>
        <w:t xml:space="preserve">Data collected for national GHG inventories may include information useful for compiling SEEA accounts that is not reported (and hence not obvious) in the inventories. For example, </w:t>
      </w:r>
      <w:r w:rsidRPr="00C253D0">
        <w:rPr>
          <w:rFonts w:asciiTheme="minorHAnsi" w:hAnsiTheme="minorHAnsi" w:cstheme="minorHAnsi"/>
        </w:rPr>
        <w:lastRenderedPageBreak/>
        <w:t>data on carbon stocks, gross additions and reductions may be collected but not reported. Information about land areas not included in the inventory is often available in government agencies.</w:t>
      </w:r>
    </w:p>
    <w:p w14:paraId="78B9B946" w14:textId="77777777" w:rsidR="00E4647F" w:rsidRPr="00C253D0" w:rsidRDefault="00E4647F">
      <w:pPr>
        <w:pStyle w:val="ListParagraph"/>
        <w:numPr>
          <w:ilvl w:val="0"/>
          <w:numId w:val="33"/>
        </w:numPr>
        <w:spacing w:after="120"/>
        <w:ind w:left="1134" w:hanging="357"/>
        <w:rPr>
          <w:rFonts w:asciiTheme="minorHAnsi" w:hAnsiTheme="minorHAnsi" w:cstheme="minorHAnsi"/>
        </w:rPr>
      </w:pPr>
      <w:r w:rsidRPr="00C253D0">
        <w:rPr>
          <w:rFonts w:asciiTheme="minorHAnsi" w:hAnsiTheme="minorHAnsi" w:cstheme="minorHAnsi"/>
        </w:rPr>
        <w:t>Classifying carbon stocks in the environment by ecosystem type and condition class allows assessment of their longevity and stability, and hence value as carbon reservoirs. The capacity of the land sector to store carbon as a benefit for the climate is dependent on many other ecosystem processes that are best represented as the integration of environmental and ecosystem accounts. This information about the dependencies of carbon storage within ecosystems is important to identify options, evaluate and prioritise effective and efficient mitigation activities.</w:t>
      </w:r>
    </w:p>
    <w:p w14:paraId="0805BC9A" w14:textId="77777777" w:rsidR="00E4647F" w:rsidRPr="00C253D0" w:rsidRDefault="00E4647F">
      <w:pPr>
        <w:pStyle w:val="ListParagraph"/>
        <w:numPr>
          <w:ilvl w:val="0"/>
          <w:numId w:val="33"/>
        </w:numPr>
        <w:spacing w:after="120"/>
        <w:ind w:left="1134" w:hanging="357"/>
        <w:rPr>
          <w:rFonts w:asciiTheme="minorHAnsi" w:hAnsiTheme="minorHAnsi" w:cstheme="minorHAnsi"/>
        </w:rPr>
      </w:pPr>
      <w:r w:rsidRPr="00C253D0">
        <w:rPr>
          <w:rFonts w:asciiTheme="minorHAnsi" w:hAnsiTheme="minorHAnsi" w:cstheme="minorHAnsi"/>
        </w:rPr>
        <w:t>Integrating carbon stock accounts with accounts for environmental assets, physical flows and ecosystem services provides a more holistic approach to managing the land sector than GHG inventories alone.</w:t>
      </w:r>
    </w:p>
    <w:p w14:paraId="5F211152" w14:textId="77777777" w:rsidR="00E4647F" w:rsidRPr="00C253D0" w:rsidRDefault="00E4647F">
      <w:pPr>
        <w:pStyle w:val="ListParagraph"/>
        <w:numPr>
          <w:ilvl w:val="0"/>
          <w:numId w:val="33"/>
        </w:numPr>
        <w:spacing w:after="120"/>
        <w:ind w:left="1134" w:hanging="357"/>
        <w:rPr>
          <w:rFonts w:asciiTheme="minorHAnsi" w:hAnsiTheme="minorHAnsi" w:cstheme="minorHAnsi"/>
        </w:rPr>
      </w:pPr>
      <w:r w:rsidRPr="00C253D0">
        <w:rPr>
          <w:rFonts w:asciiTheme="minorHAnsi" w:hAnsiTheme="minorHAnsi" w:cstheme="minorHAnsi"/>
        </w:rPr>
        <w:t xml:space="preserve">For example, the use of a standardised reference level for ecosystem condition accounting in the SEEA EA that is defined in terms of ecosystem integrity is an advantage of the accounting </w:t>
      </w:r>
      <w:proofErr w:type="gramStart"/>
      <w:r w:rsidRPr="00C253D0">
        <w:rPr>
          <w:rFonts w:asciiTheme="minorHAnsi" w:hAnsiTheme="minorHAnsi" w:cstheme="minorHAnsi"/>
        </w:rPr>
        <w:t>framework as a whole</w:t>
      </w:r>
      <w:proofErr w:type="gramEnd"/>
      <w:r w:rsidRPr="00C253D0">
        <w:rPr>
          <w:rFonts w:asciiTheme="minorHAnsi" w:hAnsiTheme="minorHAnsi" w:cstheme="minorHAnsi"/>
        </w:rPr>
        <w:t>.</w:t>
      </w:r>
    </w:p>
    <w:p w14:paraId="12A26B88" w14:textId="68B015A6" w:rsidR="00E4647F" w:rsidRPr="00C253D0" w:rsidRDefault="00E4647F">
      <w:pPr>
        <w:pStyle w:val="ListParagraph"/>
        <w:numPr>
          <w:ilvl w:val="0"/>
          <w:numId w:val="33"/>
        </w:numPr>
        <w:spacing w:after="120"/>
        <w:ind w:left="1134" w:hanging="357"/>
        <w:rPr>
          <w:rFonts w:asciiTheme="minorHAnsi" w:hAnsiTheme="minorHAnsi" w:cstheme="minorHAnsi"/>
        </w:rPr>
      </w:pPr>
      <w:r w:rsidRPr="00C253D0">
        <w:rPr>
          <w:rFonts w:asciiTheme="minorHAnsi" w:hAnsiTheme="minorHAnsi" w:cstheme="minorHAnsi"/>
        </w:rPr>
        <w:t xml:space="preserve">The mitigation benefits of the land sector arise through the retention of carbon stocks in reservoirs and hence the avoided release of carbon to the atmosphere. Hence, reporting on stocks and stock changes in asset accounts provides more comprehensive information than reporting of </w:t>
      </w:r>
      <w:r w:rsidR="00316B47">
        <w:rPr>
          <w:rFonts w:asciiTheme="minorHAnsi" w:hAnsiTheme="minorHAnsi" w:cstheme="minorHAnsi"/>
        </w:rPr>
        <w:t xml:space="preserve">net </w:t>
      </w:r>
      <w:r w:rsidRPr="00C253D0">
        <w:rPr>
          <w:rFonts w:asciiTheme="minorHAnsi" w:hAnsiTheme="minorHAnsi" w:cstheme="minorHAnsi"/>
        </w:rPr>
        <w:t>flows in GHG inventories.</w:t>
      </w:r>
    </w:p>
    <w:p w14:paraId="7C03F3BB" w14:textId="4DBE097B" w:rsidR="00E4647F" w:rsidRPr="00C253D0" w:rsidRDefault="00E4647F">
      <w:pPr>
        <w:pStyle w:val="ListParagraph"/>
        <w:numPr>
          <w:ilvl w:val="0"/>
          <w:numId w:val="33"/>
        </w:numPr>
        <w:spacing w:after="120"/>
        <w:ind w:left="1134" w:hanging="357"/>
        <w:rPr>
          <w:rFonts w:asciiTheme="minorHAnsi" w:hAnsiTheme="minorHAnsi" w:cstheme="minorHAnsi"/>
        </w:rPr>
      </w:pPr>
      <w:r w:rsidRPr="00C253D0">
        <w:rPr>
          <w:rFonts w:asciiTheme="minorHAnsi" w:hAnsiTheme="minorHAnsi" w:cstheme="minorHAnsi"/>
        </w:rPr>
        <w:t xml:space="preserve">The comprehensive approach to carbon </w:t>
      </w:r>
      <w:r w:rsidR="00B75A49">
        <w:rPr>
          <w:rFonts w:asciiTheme="minorHAnsi" w:hAnsiTheme="minorHAnsi" w:cstheme="minorHAnsi"/>
        </w:rPr>
        <w:t xml:space="preserve">stock </w:t>
      </w:r>
      <w:r w:rsidRPr="00C253D0">
        <w:rPr>
          <w:rFonts w:asciiTheme="minorHAnsi" w:hAnsiTheme="minorHAnsi" w:cstheme="minorHAnsi"/>
        </w:rPr>
        <w:t>accounting that links carbon stocks to other environmental assets and services under the SEEA framework will facilitate consistency in policy development across the Rio Conventions of the UNFCCC, CBD, UNCCD and Sustainable Development Goals.</w:t>
      </w:r>
    </w:p>
    <w:p w14:paraId="3EAA3708" w14:textId="77777777" w:rsidR="00E4647F" w:rsidRDefault="00E4647F" w:rsidP="00E4647F">
      <w:pPr>
        <w:pStyle w:val="Paragraph"/>
      </w:pPr>
      <w:r>
        <w:t xml:space="preserve">Some specific considerations on the link to UNFCCC reporting concern the link to measuring carbon in the economy. </w:t>
      </w:r>
      <w:r w:rsidRPr="002A0FF8">
        <w:t>While the Intergovernmental Panel on Climate Change (IPCC) does not explicitly define or systematically account for carbon stocks embodied in economic goods—such as manufactured products, buildings, or consumer goods—within its core greenhouse gas inventory guidelines, two related concepts are of particular relevance:</w:t>
      </w:r>
      <w:r>
        <w:t xml:space="preserve"> h</w:t>
      </w:r>
      <w:r w:rsidRPr="002A0FF8">
        <w:t xml:space="preserve">arvested </w:t>
      </w:r>
      <w:r>
        <w:t>w</w:t>
      </w:r>
      <w:r w:rsidRPr="002A0FF8">
        <w:t xml:space="preserve">ood </w:t>
      </w:r>
      <w:r>
        <w:t>p</w:t>
      </w:r>
      <w:r w:rsidRPr="002A0FF8">
        <w:t>roducts (HWP)</w:t>
      </w:r>
      <w:r>
        <w:t xml:space="preserve"> and e</w:t>
      </w:r>
      <w:r w:rsidRPr="002A0FF8">
        <w:t>mbodied emissions in materials</w:t>
      </w:r>
      <w:r>
        <w:t>.</w:t>
      </w:r>
    </w:p>
    <w:p w14:paraId="329E51DD" w14:textId="3E6A94C9" w:rsidR="00CA291A" w:rsidRDefault="00E4647F" w:rsidP="00897F62">
      <w:pPr>
        <w:pStyle w:val="Paragraph"/>
      </w:pPr>
      <w:r>
        <w:t>Concerning harvested wood products</w:t>
      </w:r>
      <w:r w:rsidR="003E30CB">
        <w:t xml:space="preserve"> (HWP)</w:t>
      </w:r>
      <w:r>
        <w:t>, u</w:t>
      </w:r>
      <w:r w:rsidRPr="002A0FF8">
        <w:t xml:space="preserve">nder standard IPCC accounting practices, it is generally assumed that all harvested biomass is oxidised (i.e., emitted as CO₂) in the accounting period of harvest. However, the 2006 IPCC </w:t>
      </w:r>
      <w:r w:rsidRPr="00606742">
        <w:t>Guidelines</w:t>
      </w:r>
      <w:r w:rsidRPr="002A0FF8">
        <w:t xml:space="preserve"> for National Greenhouse Gas Inventories: Good Practice Guidance for Land Use, Land-Use Change and Forestry (LULUCF) allow for the inclusion of carbon stored in Harvested Wood Products—such as timber used in construction or furniture</w:t>
      </w:r>
      <w:r w:rsidR="004F35DD">
        <w:t xml:space="preserve">, as well as in landfill </w:t>
      </w:r>
      <w:r w:rsidRPr="002A0FF8">
        <w:t>—provided that the stock is increasing.</w:t>
      </w:r>
      <w:r w:rsidR="003E30CB">
        <w:t xml:space="preserve"> Many countries are accounting for this carbon following these guidelines.</w:t>
      </w:r>
      <w:r>
        <w:t xml:space="preserve"> </w:t>
      </w:r>
    </w:p>
    <w:p w14:paraId="55F95BF7" w14:textId="028E92B1" w:rsidR="00897F62" w:rsidRPr="002A0FF8" w:rsidRDefault="00E4647F" w:rsidP="00897F62">
      <w:pPr>
        <w:pStyle w:val="Paragraph"/>
      </w:pPr>
      <w:r w:rsidRPr="002A0FF8">
        <w:t xml:space="preserve">Key characteristics of HWP accounting </w:t>
      </w:r>
      <w:proofErr w:type="gramStart"/>
      <w:r w:rsidRPr="002A0FF8">
        <w:t>include:</w:t>
      </w:r>
      <w:proofErr w:type="gramEnd"/>
      <w:r>
        <w:t xml:space="preserve"> o</w:t>
      </w:r>
      <w:r w:rsidRPr="002A0FF8">
        <w:t>ptional inclusion in national inventories, subject to methodological constraints</w:t>
      </w:r>
      <w:r>
        <w:t xml:space="preserve"> and HWP being </w:t>
      </w:r>
      <w:r w:rsidR="00117832">
        <w:t>assigned longevi</w:t>
      </w:r>
      <w:r w:rsidR="00FB184C">
        <w:t xml:space="preserve">ties and thus </w:t>
      </w:r>
      <w:r>
        <w:t>t</w:t>
      </w:r>
      <w:r w:rsidRPr="002A0FF8">
        <w:t>reated as a form of delayed emission, rather than permanent carbon storage.</w:t>
      </w:r>
      <w:r w:rsidR="00897F62">
        <w:t xml:space="preserve"> HWP is a major component </w:t>
      </w:r>
      <w:r w:rsidR="00897F62">
        <w:lastRenderedPageBreak/>
        <w:t>of the modelling in national inventories. Products differ in their half-lives and decomposition rates, in the same way as pools of carbon in the biosphere.</w:t>
      </w:r>
    </w:p>
    <w:p w14:paraId="6D76EE9B" w14:textId="1BA304C2" w:rsidR="00E4647F" w:rsidRDefault="00E4647F" w:rsidP="00E4647F">
      <w:pPr>
        <w:pStyle w:val="Paragraph"/>
      </w:pPr>
      <w:r>
        <w:t>Concerning embodied emissions in buildings and infrastructure, t</w:t>
      </w:r>
      <w:r w:rsidRPr="002A0FF8">
        <w:t>he concept of embodied emissions is addressed in the IPCC Sixth Assessment Report (AR6), particularly in Chapter 9, which focuses on the building sector (</w:t>
      </w:r>
      <w:hyperlink r:id="rId22" w:history="1">
        <w:r w:rsidRPr="002A0FF8">
          <w:rPr>
            <w:rStyle w:val="Hyperlink"/>
          </w:rPr>
          <w:t>IPCC AR6 WGIII Chapter 9</w:t>
        </w:r>
      </w:hyperlink>
      <w:r w:rsidRPr="002A0FF8">
        <w:t>).</w:t>
      </w:r>
      <w:r>
        <w:t xml:space="preserve"> </w:t>
      </w:r>
      <w:r w:rsidRPr="002A0FF8">
        <w:t>Embodied emissions refer to the greenhouse gas emissions associated with the production of materials—such as cement, steel, and glass—used in the construction of buildings and infrastructure.</w:t>
      </w:r>
      <w:r>
        <w:t xml:space="preserve"> </w:t>
      </w:r>
      <w:r w:rsidRPr="002A0FF8">
        <w:t>These emissions are</w:t>
      </w:r>
      <w:r>
        <w:t xml:space="preserve"> n</w:t>
      </w:r>
      <w:r w:rsidRPr="002A0FF8">
        <w:t>ot treated as carbon stocks in IPCC accounting</w:t>
      </w:r>
      <w:r>
        <w:t>; and are c</w:t>
      </w:r>
      <w:r w:rsidRPr="002A0FF8">
        <w:t>onsidered emission sources, typically attributed to the industrial and energy sectors.</w:t>
      </w:r>
    </w:p>
    <w:p w14:paraId="06ACA979" w14:textId="4E9983E0" w:rsidR="00E4647F" w:rsidRPr="007C0CBC" w:rsidRDefault="00E4647F" w:rsidP="00E4647F">
      <w:pPr>
        <w:pStyle w:val="Paragraph"/>
      </w:pPr>
      <w:r>
        <w:t>Overall, d</w:t>
      </w:r>
      <w:r w:rsidRPr="007C0CBC">
        <w:t>eveloping SEEA carbon stock accounts with as much detail as possible is extremely valuable for informing UNFCCC reporting and climate policy</w:t>
      </w:r>
      <w:r w:rsidR="009F1095">
        <w:t xml:space="preserve"> and for identifying the linkages between climate policies and the overall economy</w:t>
      </w:r>
      <w:r w:rsidRPr="007C0CBC">
        <w:t xml:space="preserve">. SEEA </w:t>
      </w:r>
      <w:r>
        <w:t xml:space="preserve">carbon stock </w:t>
      </w:r>
      <w:r w:rsidRPr="007C0CBC">
        <w:t xml:space="preserve">accounts that report stocks and gross additions and reductions </w:t>
      </w:r>
      <w:r w:rsidR="009F1095">
        <w:t xml:space="preserve">provide </w:t>
      </w:r>
      <w:r w:rsidRPr="007C0CBC">
        <w:t xml:space="preserve">important information that </w:t>
      </w:r>
      <w:r w:rsidR="009F1095">
        <w:t>can</w:t>
      </w:r>
      <w:r w:rsidRPr="007C0CBC">
        <w:t xml:space="preserve"> be used</w:t>
      </w:r>
      <w:r w:rsidR="000210D9">
        <w:t xml:space="preserve"> for climate policy and land management</w:t>
      </w:r>
      <w:r w:rsidRPr="007C0CBC">
        <w:t xml:space="preserve">. </w:t>
      </w:r>
      <w:r w:rsidR="00D20CF6">
        <w:t>Ch</w:t>
      </w:r>
      <w:r w:rsidR="00C21442">
        <w:t>an</w:t>
      </w:r>
      <w:r w:rsidR="00D20CF6">
        <w:t xml:space="preserve">ges in carbon stocks can be linked to </w:t>
      </w:r>
      <w:r w:rsidR="00F67485">
        <w:t>specific human activities or disturbance events</w:t>
      </w:r>
      <w:r w:rsidR="00C21442">
        <w:t>,</w:t>
      </w:r>
      <w:r w:rsidR="007979A0">
        <w:t xml:space="preserve"> </w:t>
      </w:r>
      <w:r w:rsidR="00D8238D">
        <w:t>s</w:t>
      </w:r>
      <w:r w:rsidR="007979A0">
        <w:t>patially located</w:t>
      </w:r>
      <w:r w:rsidR="00C21442">
        <w:t xml:space="preserve">, and </w:t>
      </w:r>
      <w:r w:rsidR="00D82E10">
        <w:t>related to changes in ecosystem condition and the economy</w:t>
      </w:r>
      <w:r w:rsidR="00D8238D">
        <w:t>.</w:t>
      </w:r>
    </w:p>
    <w:p w14:paraId="54A0D8E0" w14:textId="77777777" w:rsidR="00E4647F" w:rsidRDefault="00E4647F" w:rsidP="00E4647F">
      <w:pPr>
        <w:pStyle w:val="Paragraph"/>
        <w:numPr>
          <w:ilvl w:val="0"/>
          <w:numId w:val="0"/>
        </w:numPr>
        <w:tabs>
          <w:tab w:val="left" w:pos="768"/>
        </w:tabs>
        <w:ind w:left="714" w:hanging="357"/>
        <w:rPr>
          <w:lang w:val="en-GB"/>
        </w:rPr>
      </w:pPr>
    </w:p>
    <w:p w14:paraId="281B0659" w14:textId="77777777" w:rsidR="002A3BAE" w:rsidRPr="002A3BAE" w:rsidRDefault="002A3BAE" w:rsidP="002A3BAE"/>
    <w:p w14:paraId="4A2A319D" w14:textId="77777777" w:rsidR="00F61A08" w:rsidRDefault="00F61A08">
      <w:pPr>
        <w:rPr>
          <w:rFonts w:asciiTheme="minorHAnsi" w:eastAsiaTheme="majorEastAsia" w:hAnsiTheme="minorHAnsi" w:cs="Calibri (Body)"/>
          <w:b/>
          <w:color w:val="125771" w:themeColor="accent1" w:themeShade="BF"/>
          <w:sz w:val="28"/>
          <w:szCs w:val="22"/>
        </w:rPr>
      </w:pPr>
      <w:r>
        <w:br w:type="page"/>
      </w:r>
    </w:p>
    <w:p w14:paraId="10061562" w14:textId="79624627" w:rsidR="00555D02" w:rsidRDefault="00F61A08" w:rsidP="00F61A08">
      <w:pPr>
        <w:pStyle w:val="Heading1"/>
        <w:numPr>
          <w:ilvl w:val="0"/>
          <w:numId w:val="0"/>
        </w:numPr>
        <w:ind w:left="17"/>
      </w:pPr>
      <w:bookmarkStart w:id="22" w:name="_Toc239173052"/>
      <w:r>
        <w:lastRenderedPageBreak/>
        <w:t>Annex 1:  SEEA Ecosystem Accounting Carbon stock account content</w:t>
      </w:r>
      <w:bookmarkEnd w:id="22"/>
    </w:p>
    <w:p w14:paraId="5CACFDAF" w14:textId="69EDCB87" w:rsidR="00F61A08" w:rsidRPr="000D13BB" w:rsidRDefault="00F61A08" w:rsidP="00F61A08">
      <w:pPr>
        <w:pStyle w:val="Heading2"/>
        <w:numPr>
          <w:ilvl w:val="0"/>
          <w:numId w:val="0"/>
        </w:numPr>
        <w:jc w:val="both"/>
      </w:pPr>
      <w:bookmarkStart w:id="23" w:name="_Toc54459470"/>
      <w:bookmarkStart w:id="24" w:name="_Toc63671568"/>
      <w:bookmarkStart w:id="25" w:name="_Toc239173053"/>
      <w:r>
        <w:t>13.4</w:t>
      </w:r>
      <w:r>
        <w:tab/>
      </w:r>
      <w:r w:rsidRPr="000D13BB">
        <w:t>Accounting for climate change</w:t>
      </w:r>
      <w:bookmarkEnd w:id="23"/>
      <w:bookmarkEnd w:id="24"/>
      <w:bookmarkEnd w:id="25"/>
    </w:p>
    <w:p w14:paraId="738D0D1F" w14:textId="5EA20D92" w:rsidR="00F61A08" w:rsidRPr="000D13BB" w:rsidRDefault="00F61A08" w:rsidP="00F61A08">
      <w:pPr>
        <w:pStyle w:val="Heading3"/>
        <w:numPr>
          <w:ilvl w:val="0"/>
          <w:numId w:val="0"/>
        </w:numPr>
      </w:pPr>
      <w:bookmarkStart w:id="26" w:name="_Toc63671569"/>
      <w:bookmarkStart w:id="27" w:name="_Toc239173054"/>
      <w:r>
        <w:t>13.4.1</w:t>
      </w:r>
      <w:r>
        <w:tab/>
      </w:r>
      <w:r>
        <w:tab/>
      </w:r>
      <w:r w:rsidRPr="000D13BB">
        <w:t>Introduction</w:t>
      </w:r>
      <w:bookmarkEnd w:id="26"/>
      <w:bookmarkEnd w:id="27"/>
    </w:p>
    <w:p w14:paraId="053D4358" w14:textId="77777777" w:rsidR="00F61A08" w:rsidRPr="000D13BB" w:rsidRDefault="00F61A08">
      <w:pPr>
        <w:pStyle w:val="ListParagraph"/>
        <w:numPr>
          <w:ilvl w:val="0"/>
          <w:numId w:val="26"/>
        </w:numPr>
        <w:spacing w:after="120"/>
        <w:ind w:left="737" w:hanging="737"/>
        <w:jc w:val="both"/>
        <w:rPr>
          <w:lang w:eastAsia="zh-CN"/>
        </w:rPr>
      </w:pPr>
      <w:r w:rsidRPr="000D13BB">
        <w:rPr>
          <w:lang w:eastAsia="zh-CN"/>
        </w:rPr>
        <w:t xml:space="preserve">Climate change is one of the major global challenges of our time. Ecosystem accounting can provide data to understand the key role ecosystems play in </w:t>
      </w:r>
      <w:bookmarkStart w:id="28" w:name="_Hlk53763324"/>
      <w:r w:rsidRPr="000D13BB">
        <w:rPr>
          <w:lang w:eastAsia="zh-CN"/>
        </w:rPr>
        <w:t xml:space="preserve">greenhouse gas (GHG) </w:t>
      </w:r>
      <w:bookmarkEnd w:id="28"/>
      <w:r w:rsidRPr="000D13BB">
        <w:rPr>
          <w:lang w:eastAsia="zh-CN"/>
        </w:rPr>
        <w:t>cycling on global, national and regional scales that underpin the carbon concentration in the atmosphere. In addition, data from the ecosystem accounts can help to understand the impact that climate change is having on ecosystems and biodiversity. This connection among ecosystems, climate change and biodiversity and the need to consider them jointly is recognised in the UNFCCC CoP25 decision that “underlined the essential contribution of nature to addressing climate change and its impacts and the need to address biodiversity loss and climate change in an integrated manner”</w:t>
      </w:r>
      <w:r w:rsidRPr="000D13BB">
        <w:rPr>
          <w:rStyle w:val="FootnoteReference"/>
          <w:lang w:eastAsia="zh-CN"/>
        </w:rPr>
        <w:footnoteReference w:id="4"/>
      </w:r>
      <w:r w:rsidRPr="000D13BB">
        <w:rPr>
          <w:lang w:eastAsia="zh-CN"/>
        </w:rPr>
        <w:t xml:space="preserve"> SEEA as an integrated statistical framework thus can play an important role in supporting international and national policy discussions related to climate change. Furthermore, it can provide the underlying data that link climate change to other environmental topics – e.g., biodiversity, circular economy.</w:t>
      </w:r>
    </w:p>
    <w:p w14:paraId="1A4D3BCC" w14:textId="77777777" w:rsidR="00F61A08" w:rsidRPr="000D13BB" w:rsidRDefault="00F61A08">
      <w:pPr>
        <w:pStyle w:val="ListParagraph"/>
        <w:numPr>
          <w:ilvl w:val="0"/>
          <w:numId w:val="26"/>
        </w:numPr>
        <w:spacing w:after="120"/>
        <w:ind w:left="737" w:hanging="737"/>
        <w:jc w:val="both"/>
        <w:rPr>
          <w:lang w:eastAsia="zh-CN"/>
        </w:rPr>
      </w:pPr>
      <w:r w:rsidRPr="000D13BB">
        <w:rPr>
          <w:lang w:eastAsia="zh-CN"/>
        </w:rPr>
        <w:t xml:space="preserve">The SEEA EA accounts in combination with the accounts from the SEEA Central Framework and SNA can support various aspects of climate change policy – e.g., carbon mitigation and adaptation policies, carbon markets and financing mechanisms, carbon stock assessment and management, linking air emissions and economic activity, recording and modelling climate change outcomes on ecosystems, ecosystem services and economic activity, sector based assessments (e.g., agriculture), ecosystem focused planning (e.g., peatlands), </w:t>
      </w:r>
      <w:r w:rsidRPr="000D13BB">
        <w:t>inform on the co-benefits of carbon projects and policies, and the</w:t>
      </w:r>
      <w:r w:rsidRPr="000D13BB">
        <w:rPr>
          <w:lang w:eastAsia="zh-CN"/>
        </w:rPr>
        <w:t xml:space="preserve"> impacts of mitigation responses.</w:t>
      </w:r>
    </w:p>
    <w:p w14:paraId="1FFBB6C3" w14:textId="77777777" w:rsidR="00F61A08" w:rsidRPr="000D13BB" w:rsidRDefault="00F61A08">
      <w:pPr>
        <w:pStyle w:val="ListParagraph"/>
        <w:numPr>
          <w:ilvl w:val="0"/>
          <w:numId w:val="26"/>
        </w:numPr>
        <w:spacing w:after="120"/>
        <w:ind w:left="737" w:hanging="737"/>
        <w:jc w:val="both"/>
        <w:rPr>
          <w:lang w:eastAsia="zh-CN"/>
        </w:rPr>
      </w:pPr>
      <w:r w:rsidRPr="000D13BB">
        <w:rPr>
          <w:lang w:eastAsia="zh-CN"/>
        </w:rPr>
        <w:t xml:space="preserve">Thematic accounting for climate change complements existing measurement approaches described in the IPCC Guidelines in two ways. First, </w:t>
      </w:r>
      <w:r w:rsidRPr="000D13BB">
        <w:t xml:space="preserve">carbon emissions from terrestrial ecosystems result from </w:t>
      </w:r>
      <w:r w:rsidRPr="000D13BB">
        <w:rPr>
          <w:i/>
          <w:iCs/>
        </w:rPr>
        <w:t>two processes</w:t>
      </w:r>
      <w:r w:rsidRPr="000D13BB">
        <w:t>: human activities (management) and environmental change. The IPCC guidelines for GHG accounting have been developed to account for net emissions due to human activities. The SEEA EA are comprehensive (e.g., in its carbon account) and include both managed and unmanaged lands (its wide asset boundary ensures all land is in scope). Second, the SEEA allows making the connection with economic activities.</w:t>
      </w:r>
    </w:p>
    <w:p w14:paraId="169F0C6B" w14:textId="77777777" w:rsidR="00F61A08" w:rsidRPr="000D13BB" w:rsidRDefault="00F61A08">
      <w:pPr>
        <w:pStyle w:val="ListParagraph"/>
        <w:numPr>
          <w:ilvl w:val="0"/>
          <w:numId w:val="26"/>
        </w:numPr>
        <w:spacing w:after="120"/>
        <w:ind w:left="737" w:hanging="737"/>
        <w:jc w:val="both"/>
        <w:rPr>
          <w:lang w:eastAsia="zh-CN"/>
        </w:rPr>
      </w:pPr>
      <w:r w:rsidRPr="000D13BB">
        <w:t xml:space="preserve">This section introduces how accounting can provide information to support decision making about climate change. Three aspects are considered: the potential of data from the ecosystem accounts to inform decision making; accounting for stocks and changes in stocks of carbon; and other accounting connections and indicators. As for thematic accounting generally, the aim in this section is to introduce a range of connections to provide insight into the potential of accounting approaches. </w:t>
      </w:r>
    </w:p>
    <w:p w14:paraId="6EAC1379" w14:textId="77777777" w:rsidR="00F61A08" w:rsidRPr="000D13BB" w:rsidRDefault="00F61A08" w:rsidP="00F61A08">
      <w:pPr>
        <w:rPr>
          <w:lang w:val="en-GB" w:eastAsia="zh-CN"/>
        </w:rPr>
      </w:pPr>
    </w:p>
    <w:p w14:paraId="5A740869" w14:textId="06CA7412" w:rsidR="00F61A08" w:rsidRPr="000D13BB" w:rsidRDefault="00F61A08" w:rsidP="00F61A08">
      <w:pPr>
        <w:pStyle w:val="Heading3"/>
        <w:numPr>
          <w:ilvl w:val="0"/>
          <w:numId w:val="0"/>
        </w:numPr>
      </w:pPr>
      <w:bookmarkStart w:id="29" w:name="_Toc54459472"/>
      <w:bookmarkStart w:id="30" w:name="_Toc63671570"/>
      <w:bookmarkStart w:id="31" w:name="_Toc239173055"/>
      <w:r>
        <w:t>13.4.2</w:t>
      </w:r>
      <w:r>
        <w:tab/>
      </w:r>
      <w:r>
        <w:tab/>
      </w:r>
      <w:r w:rsidRPr="000D13BB">
        <w:t>Applying the SEEA EA to inform climate policies</w:t>
      </w:r>
      <w:bookmarkEnd w:id="29"/>
      <w:bookmarkEnd w:id="30"/>
      <w:bookmarkEnd w:id="31"/>
      <w:r w:rsidRPr="000D13BB">
        <w:t xml:space="preserve"> </w:t>
      </w:r>
    </w:p>
    <w:p w14:paraId="30737CF0" w14:textId="77777777" w:rsidR="00F61A08" w:rsidRPr="000D13BB" w:rsidRDefault="00F61A08">
      <w:pPr>
        <w:pStyle w:val="ListParagraph"/>
        <w:numPr>
          <w:ilvl w:val="0"/>
          <w:numId w:val="26"/>
        </w:numPr>
        <w:spacing w:after="120"/>
        <w:ind w:left="737" w:hanging="737"/>
        <w:jc w:val="both"/>
        <w:rPr>
          <w:lang w:eastAsia="zh-CN"/>
        </w:rPr>
      </w:pPr>
      <w:r w:rsidRPr="000D13BB">
        <w:rPr>
          <w:lang w:eastAsia="zh-CN"/>
        </w:rPr>
        <w:t xml:space="preserve">Several of the ecosystem accounts provide data to support monitoring and analysis of climate change policies. In general, this connection emerges because of the impact that climate change has </w:t>
      </w:r>
      <w:r w:rsidRPr="000D13BB">
        <w:rPr>
          <w:lang w:eastAsia="zh-CN"/>
        </w:rPr>
        <w:lastRenderedPageBreak/>
        <w:t>on the extent and condition of ecosystem assets and flows of ecosystem services. That is, the ecosystem accounts are a framework for recording a range of climate change effects on the environment and showing the links to economic and other human activity. By using a common framework for recording these effects, it is straightforward to compare the effectiveness of different policies aimed at mitigating or adapting to climate change.</w:t>
      </w:r>
    </w:p>
    <w:p w14:paraId="598CC007" w14:textId="77777777" w:rsidR="00F61A08" w:rsidRPr="000D13BB" w:rsidRDefault="00F61A08">
      <w:pPr>
        <w:pStyle w:val="ListParagraph"/>
        <w:numPr>
          <w:ilvl w:val="0"/>
          <w:numId w:val="26"/>
        </w:numPr>
        <w:spacing w:after="120"/>
        <w:ind w:left="737" w:hanging="737"/>
        <w:jc w:val="both"/>
      </w:pPr>
      <w:r w:rsidRPr="000D13BB">
        <w:t xml:space="preserve">The extent account shows the managed and unmanaged conversions in ecosystem types that directly underpin changes in carbon uptake and release from ecosystems. Data from extent accounts can therefore be linked to the assessment of GHG emissions arising from </w:t>
      </w:r>
      <w:bookmarkStart w:id="32" w:name="_Hlk53763353"/>
      <w:r w:rsidRPr="000D13BB">
        <w:t>land use, land use change and forestry (LULUCF)</w:t>
      </w:r>
      <w:bookmarkEnd w:id="32"/>
      <w:r w:rsidRPr="000D13BB">
        <w:t xml:space="preserve"> as used in IPCC measurements. The link between LULUCF and accounting is described in detail in the SEEA Agriculture, Forestry and Fisheries.</w:t>
      </w:r>
    </w:p>
    <w:p w14:paraId="07AFB945" w14:textId="77777777" w:rsidR="00F61A08" w:rsidRPr="000D13BB" w:rsidRDefault="00F61A08">
      <w:pPr>
        <w:pStyle w:val="ListParagraph"/>
        <w:numPr>
          <w:ilvl w:val="0"/>
          <w:numId w:val="26"/>
        </w:numPr>
        <w:spacing w:after="120"/>
        <w:ind w:left="737" w:hanging="737"/>
        <w:jc w:val="both"/>
      </w:pPr>
      <w:r w:rsidRPr="000D13BB">
        <w:t>The condition account contains ecosystem characteristics and indicators that are highly relevant for climate change. Relevant physical state characteristics that that relate to carbon stored in ecosystems include soil organic carbon, and dry matter productivity. Carbon stock indicators for biomass provide a direct link to the carbon stock account described below. Condition indicators should also capture the local impacts of climate change on ecosystem condition, for example the effects on local temperatures and rainfall patterns may be relevant in assessing condition in some contexts. Note however, that ecosystem accounts do not incorporate direct measurement of climate per se, for example in terms of atmospheric and ocean concentrations of GHG or in terms of comprehensive data on temperatures and rainfall.</w:t>
      </w:r>
    </w:p>
    <w:p w14:paraId="7B632EAE" w14:textId="77777777" w:rsidR="00F61A08" w:rsidRPr="000D13BB" w:rsidRDefault="00F61A08">
      <w:pPr>
        <w:pStyle w:val="ListParagraph"/>
        <w:numPr>
          <w:ilvl w:val="0"/>
          <w:numId w:val="26"/>
        </w:numPr>
        <w:spacing w:after="120"/>
        <w:ind w:left="737" w:hanging="737"/>
        <w:jc w:val="both"/>
      </w:pPr>
      <w:r w:rsidRPr="000D13BB">
        <w:t xml:space="preserve">The reference list for selected ecosystem services (Table 6.2) includes several ecosystem services that are particularly relevant for climate change policies. Global climate regulation services are the ecosystem contributions to the regulation of the concentrations of gases in the atmosphere that impact on global climate, primarily through the sequestration and retention of carbon in ecosystems. The physical and monetary ecosystem service flow accounts (chapters 6, 7 and 9) show what ecosystem types play an important role in carbon sequestration and retention and how these change over time. Physical data on carbon retention and sequestration by ecosystem type are embodied in the carbon stock account described below. </w:t>
      </w:r>
    </w:p>
    <w:p w14:paraId="2702C645" w14:textId="77777777" w:rsidR="00F61A08" w:rsidRPr="000D13BB" w:rsidRDefault="00F61A08">
      <w:pPr>
        <w:pStyle w:val="ListParagraph"/>
        <w:numPr>
          <w:ilvl w:val="0"/>
          <w:numId w:val="26"/>
        </w:numPr>
        <w:spacing w:after="120"/>
        <w:ind w:left="737" w:hanging="737"/>
        <w:jc w:val="both"/>
      </w:pPr>
      <w:r w:rsidRPr="000D13BB">
        <w:t>Furthermore, there are several regulating ecosystem services that mitigate the effects of climate change. Local climate regulation services are the ecosystem contributions to the regulation of ambient atmospheric conditions. Examples include the evaporative cooling provided by urban trees and the contribution of trees in providing shade for livestock. Rainfall pattern regulation services are the ecosystem contributions of vegetation at the sub-continental scale, in particular forests, in maintaining rainfall patterns through evapotranspiration. Flood mitigation services, including both tidal surge and river flood mitigation, are the ecosystem contributions that mitigate the impacts of floods on local communities. Storm mitigation services are the ecosystem contributions of vegetation, especially linear elements in the landscape, in mitigating the impacts of wind, sand and other storms (other than water related events) on local communities. The accounts indicate what ecosystem types are the main contributors to reducing the effects of climate change, but also who the main beneficiaries are of these ecosystem services.</w:t>
      </w:r>
    </w:p>
    <w:p w14:paraId="307CFEB0" w14:textId="77777777" w:rsidR="00F61A08" w:rsidRPr="000D13BB" w:rsidRDefault="00F61A08">
      <w:pPr>
        <w:pStyle w:val="ListParagraph"/>
        <w:numPr>
          <w:ilvl w:val="0"/>
          <w:numId w:val="26"/>
        </w:numPr>
        <w:spacing w:after="120"/>
        <w:ind w:left="737" w:hanging="737"/>
        <w:jc w:val="both"/>
      </w:pPr>
      <w:r w:rsidRPr="000D13BB">
        <w:t xml:space="preserve">Finally, flows of several ecosystem services, including provisioning and cultural services, will be impacted by climate change e.g., water supply, biomass provision, recreation services etc, although isolating the precise contribution of climate change to the flows of ecosystem services is not the ambition in the accounts. </w:t>
      </w:r>
    </w:p>
    <w:p w14:paraId="46437390" w14:textId="77777777" w:rsidR="00F61A08" w:rsidRPr="000D13BB" w:rsidRDefault="00F61A08" w:rsidP="00F61A08">
      <w:pPr>
        <w:rPr>
          <w:lang w:val="en-GB"/>
        </w:rPr>
      </w:pPr>
    </w:p>
    <w:p w14:paraId="24B53C0C" w14:textId="3EAD075A" w:rsidR="00F61A08" w:rsidRPr="000D13BB" w:rsidRDefault="00F61A08" w:rsidP="00F61A08">
      <w:pPr>
        <w:pStyle w:val="Heading3"/>
        <w:numPr>
          <w:ilvl w:val="0"/>
          <w:numId w:val="0"/>
        </w:numPr>
        <w:ind w:left="17"/>
      </w:pPr>
      <w:bookmarkStart w:id="33" w:name="_Toc63671571"/>
      <w:bookmarkStart w:id="34" w:name="_Toc239173056"/>
      <w:r>
        <w:t>13.4.3</w:t>
      </w:r>
      <w:r>
        <w:tab/>
      </w:r>
      <w:r w:rsidRPr="000D13BB">
        <w:t>Accounting for carbon</w:t>
      </w:r>
      <w:bookmarkEnd w:id="33"/>
      <w:bookmarkEnd w:id="34"/>
    </w:p>
    <w:p w14:paraId="57CD5EF1" w14:textId="77777777" w:rsidR="00F61A08" w:rsidRPr="000D13BB" w:rsidRDefault="00F61A08">
      <w:pPr>
        <w:pStyle w:val="ListParagraph"/>
        <w:numPr>
          <w:ilvl w:val="0"/>
          <w:numId w:val="26"/>
        </w:numPr>
        <w:spacing w:after="120"/>
        <w:ind w:left="737" w:hanging="737"/>
        <w:jc w:val="both"/>
      </w:pPr>
      <w:r w:rsidRPr="000D13BB">
        <w:t xml:space="preserve">Carbon has a central place in ecosystem and other environmental processes and hence accounting for carbon stocks and transfers between them is an important aspect of environmental-economic accounting. The carbon stock account provides a comprehensive coverage of all relevant carbon stocks and changes in stocks across all stores of carbon at a national or sub national level covering both managed and unmanaged lands. </w:t>
      </w:r>
    </w:p>
    <w:p w14:paraId="7CC0216F" w14:textId="0B65F160" w:rsidR="00F61A08" w:rsidRPr="000D13BB" w:rsidRDefault="00F61A08">
      <w:pPr>
        <w:pStyle w:val="ListParagraph"/>
        <w:numPr>
          <w:ilvl w:val="0"/>
          <w:numId w:val="26"/>
        </w:numPr>
        <w:spacing w:after="120"/>
        <w:ind w:left="737" w:hanging="737"/>
        <w:jc w:val="both"/>
      </w:pPr>
      <w:r w:rsidRPr="000D13BB">
        <w:t xml:space="preserve">The fact that carbon plays an extensive role in the environment and the economy calls for a comprehensive approach to its measurement. Accounting for carbon must therefore consider stocks and changes in stocks of carbon of the geosphere, the biosphere, the atmosphere, oceans and the economy. </w:t>
      </w:r>
      <w:r w:rsidRPr="000D13BB">
        <w:fldChar w:fldCharType="begin"/>
      </w:r>
      <w:r w:rsidRPr="000D13BB">
        <w:instrText xml:space="preserve"> REF _Ref53763626 \h </w:instrText>
      </w:r>
      <w:r w:rsidRPr="000D13BB">
        <w:fldChar w:fldCharType="separate"/>
      </w:r>
      <w:r w:rsidR="00CA6DF6" w:rsidRPr="000D13BB">
        <w:rPr>
          <w:lang w:val="en-GB"/>
        </w:rPr>
        <w:t xml:space="preserve">Figure </w:t>
      </w:r>
      <w:r w:rsidR="00CA6DF6">
        <w:rPr>
          <w:noProof/>
          <w:lang w:val="en-GB"/>
        </w:rPr>
        <w:t>0</w:t>
      </w:r>
      <w:r w:rsidR="00CA6DF6" w:rsidRPr="000D13BB">
        <w:rPr>
          <w:lang w:val="en-GB"/>
        </w:rPr>
        <w:t>.</w:t>
      </w:r>
      <w:r w:rsidR="00CA6DF6">
        <w:rPr>
          <w:noProof/>
          <w:lang w:val="en-GB"/>
        </w:rPr>
        <w:t>1</w:t>
      </w:r>
      <w:r w:rsidRPr="000D13BB">
        <w:fldChar w:fldCharType="end"/>
      </w:r>
      <w:r w:rsidRPr="000D13BB">
        <w:t xml:space="preserve"> presents the main components of the carbon cycle. It is these stocks and flows that provide the context for carbon accounting. The same accounting principles can also be applied to account for other GHG including NO</w:t>
      </w:r>
      <w:r w:rsidRPr="000D13BB">
        <w:rPr>
          <w:vertAlign w:val="subscript"/>
        </w:rPr>
        <w:t>x</w:t>
      </w:r>
      <w:r w:rsidRPr="000D13BB">
        <w:t>.</w:t>
      </w:r>
    </w:p>
    <w:p w14:paraId="71CF9003" w14:textId="7ABFD62A" w:rsidR="00F61A08" w:rsidRPr="000D13BB" w:rsidRDefault="00F61A08" w:rsidP="00F61A08">
      <w:pPr>
        <w:pStyle w:val="Caption"/>
        <w:rPr>
          <w:lang w:val="en-GB"/>
        </w:rPr>
      </w:pPr>
      <w:bookmarkStart w:id="35" w:name="_Ref53763626"/>
      <w:bookmarkStart w:id="36" w:name="_Toc63671675"/>
      <w:r w:rsidRPr="000D13BB">
        <w:rPr>
          <w:lang w:val="en-GB"/>
        </w:rPr>
        <w:t xml:space="preserve">Figure </w:t>
      </w:r>
      <w:r w:rsidRPr="000D13BB">
        <w:rPr>
          <w:lang w:val="en-GB"/>
        </w:rPr>
        <w:fldChar w:fldCharType="begin"/>
      </w:r>
      <w:r w:rsidRPr="000D13BB">
        <w:rPr>
          <w:lang w:val="en-GB"/>
        </w:rPr>
        <w:instrText xml:space="preserve"> STYLEREF 1 \s </w:instrText>
      </w:r>
      <w:r w:rsidRPr="000D13BB">
        <w:rPr>
          <w:lang w:val="en-GB"/>
        </w:rPr>
        <w:fldChar w:fldCharType="separate"/>
      </w:r>
      <w:r w:rsidR="00CA6DF6">
        <w:rPr>
          <w:noProof/>
          <w:lang w:val="en-GB"/>
        </w:rPr>
        <w:t>0</w:t>
      </w:r>
      <w:r w:rsidRPr="000D13BB">
        <w:rPr>
          <w:lang w:val="en-GB"/>
        </w:rPr>
        <w:fldChar w:fldCharType="end"/>
      </w:r>
      <w:r w:rsidRPr="000D13BB">
        <w:rPr>
          <w:lang w:val="en-GB"/>
        </w:rPr>
        <w:t>.</w:t>
      </w:r>
      <w:r w:rsidRPr="000D13BB">
        <w:rPr>
          <w:lang w:val="en-GB"/>
        </w:rPr>
        <w:fldChar w:fldCharType="begin"/>
      </w:r>
      <w:r w:rsidRPr="000D13BB">
        <w:rPr>
          <w:lang w:val="en-GB"/>
        </w:rPr>
        <w:instrText xml:space="preserve"> SEQ Figure \* ARABIC \s 1 </w:instrText>
      </w:r>
      <w:r w:rsidRPr="000D13BB">
        <w:rPr>
          <w:lang w:val="en-GB"/>
        </w:rPr>
        <w:fldChar w:fldCharType="separate"/>
      </w:r>
      <w:r w:rsidR="00CA6DF6">
        <w:rPr>
          <w:noProof/>
          <w:lang w:val="en-GB"/>
        </w:rPr>
        <w:t>1</w:t>
      </w:r>
      <w:r w:rsidRPr="000D13BB">
        <w:rPr>
          <w:lang w:val="en-GB"/>
        </w:rPr>
        <w:fldChar w:fldCharType="end"/>
      </w:r>
      <w:bookmarkEnd w:id="35"/>
      <w:r w:rsidRPr="000D13BB">
        <w:rPr>
          <w:lang w:val="en-GB"/>
        </w:rPr>
        <w:t>: The main components of the carbon cycle</w:t>
      </w:r>
      <w:bookmarkEnd w:id="36"/>
    </w:p>
    <w:p w14:paraId="42D4CA7C" w14:textId="77777777" w:rsidR="00F61A08" w:rsidRPr="000D13BB" w:rsidRDefault="00F61A08" w:rsidP="00F61A08">
      <w:pPr>
        <w:rPr>
          <w:lang w:val="en-GB"/>
        </w:rPr>
      </w:pPr>
      <w:r w:rsidRPr="000D13BB">
        <w:rPr>
          <w:noProof/>
          <w:lang w:val="en-GB"/>
        </w:rPr>
        <w:drawing>
          <wp:inline distT="0" distB="0" distL="0" distR="0" wp14:anchorId="0F707FDA" wp14:editId="69E57B86">
            <wp:extent cx="5727700" cy="3746500"/>
            <wp:effectExtent l="0" t="0" r="6350" b="6350"/>
            <wp:docPr id="1861574446" name="Picture 1861574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t="2960"/>
                    <a:stretch/>
                  </pic:blipFill>
                  <pic:spPr bwMode="auto">
                    <a:xfrm>
                      <a:off x="0" y="0"/>
                      <a:ext cx="5727700" cy="3746500"/>
                    </a:xfrm>
                    <a:prstGeom prst="rect">
                      <a:avLst/>
                    </a:prstGeom>
                    <a:ln>
                      <a:noFill/>
                    </a:ln>
                    <a:extLst>
                      <a:ext uri="{53640926-AAD7-44D8-BBD7-CCE9431645EC}">
                        <a14:shadowObscured xmlns:a14="http://schemas.microsoft.com/office/drawing/2010/main"/>
                      </a:ext>
                    </a:extLst>
                  </pic:spPr>
                </pic:pic>
              </a:graphicData>
            </a:graphic>
          </wp:inline>
        </w:drawing>
      </w:r>
    </w:p>
    <w:p w14:paraId="7868D993" w14:textId="77777777" w:rsidR="00F61A08" w:rsidRPr="000D13BB" w:rsidRDefault="00F61A08" w:rsidP="00F61A08">
      <w:pPr>
        <w:rPr>
          <w:lang w:val="en-GB"/>
        </w:rPr>
      </w:pPr>
    </w:p>
    <w:p w14:paraId="696FD722" w14:textId="71122465" w:rsidR="00F61A08" w:rsidRPr="000D13BB" w:rsidRDefault="00F61A08">
      <w:pPr>
        <w:pStyle w:val="ListParagraph"/>
        <w:numPr>
          <w:ilvl w:val="0"/>
          <w:numId w:val="26"/>
        </w:numPr>
        <w:spacing w:after="120"/>
        <w:ind w:left="737" w:hanging="737"/>
        <w:jc w:val="both"/>
      </w:pPr>
      <w:r w:rsidRPr="000D13BB">
        <w:t xml:space="preserve">The structure of a carbon stock account is presented in </w:t>
      </w:r>
      <w:r w:rsidRPr="000D13BB">
        <w:fldChar w:fldCharType="begin"/>
      </w:r>
      <w:r w:rsidRPr="000D13BB">
        <w:instrText xml:space="preserve"> REF _Ref53763661 \h </w:instrText>
      </w:r>
      <w:r w:rsidRPr="000D13BB">
        <w:fldChar w:fldCharType="separate"/>
      </w:r>
      <w:r w:rsidR="00CA6DF6" w:rsidRPr="000D13BB">
        <w:rPr>
          <w:lang w:val="en-GB"/>
        </w:rPr>
        <w:t xml:space="preserve">Table </w:t>
      </w:r>
      <w:r w:rsidR="00CA6DF6">
        <w:rPr>
          <w:noProof/>
          <w:lang w:val="en-GB"/>
        </w:rPr>
        <w:t>0</w:t>
      </w:r>
      <w:r w:rsidR="00CA6DF6">
        <w:rPr>
          <w:lang w:val="en-GB"/>
        </w:rPr>
        <w:t>.</w:t>
      </w:r>
      <w:r w:rsidR="00CA6DF6">
        <w:rPr>
          <w:noProof/>
          <w:lang w:val="en-GB"/>
        </w:rPr>
        <w:t>1</w:t>
      </w:r>
      <w:r w:rsidRPr="000D13BB">
        <w:fldChar w:fldCharType="end"/>
      </w:r>
      <w:r w:rsidRPr="000D13BB">
        <w:t>. It provides a complete and ecologically grounded articulation of carbon accounting based on the carbon cycle</w:t>
      </w:r>
      <w:proofErr w:type="gramStart"/>
      <w:r w:rsidRPr="000D13BB">
        <w:t xml:space="preserve"> and, in particular,</w:t>
      </w:r>
      <w:proofErr w:type="gramEnd"/>
      <w:r w:rsidRPr="000D13BB">
        <w:t xml:space="preserve"> the differences in the nature of particular carbon reservoirs. Opening and closing stocks of carbon are recorded, with the various changes between the beginning and end of the accounting period recorded as either additions to, or reductions in, the stock. A more detailed description of the carbon account is provided in Annex 13.2.</w:t>
      </w:r>
    </w:p>
    <w:p w14:paraId="029D216D" w14:textId="77777777" w:rsidR="00F61A08" w:rsidRPr="000D13BB" w:rsidRDefault="00F61A08">
      <w:pPr>
        <w:pStyle w:val="ListParagraph"/>
        <w:numPr>
          <w:ilvl w:val="0"/>
          <w:numId w:val="26"/>
        </w:numPr>
        <w:spacing w:after="120"/>
        <w:ind w:left="737" w:hanging="737"/>
        <w:jc w:val="both"/>
      </w:pPr>
      <w:r w:rsidRPr="000D13BB">
        <w:lastRenderedPageBreak/>
        <w:t xml:space="preserve">Carbon stocks are disaggregated into: </w:t>
      </w:r>
      <w:proofErr w:type="spellStart"/>
      <w:r w:rsidRPr="000D13BB">
        <w:t>geocarbon</w:t>
      </w:r>
      <w:proofErr w:type="spellEnd"/>
      <w:r w:rsidRPr="000D13BB">
        <w:t xml:space="preserve"> (carbon stored in the geosphere) and biocarbon (carbon stored in the biosphere, in living and dead biomass), carbon in the oceans (carbon dissolved in seawater, carbon in sediments is part of biocarbon or </w:t>
      </w:r>
      <w:proofErr w:type="spellStart"/>
      <w:r w:rsidRPr="000D13BB">
        <w:t>geocarbon</w:t>
      </w:r>
      <w:proofErr w:type="spellEnd"/>
      <w:r w:rsidRPr="000D13BB">
        <w:t xml:space="preserve">), carbon in the atmosphere and carbon accumulated in the economy. </w:t>
      </w:r>
    </w:p>
    <w:p w14:paraId="6117FF8E" w14:textId="77777777" w:rsidR="00F61A08" w:rsidRPr="000D13BB" w:rsidRDefault="00F61A08">
      <w:pPr>
        <w:pStyle w:val="ListParagraph"/>
        <w:numPr>
          <w:ilvl w:val="0"/>
          <w:numId w:val="26"/>
        </w:numPr>
        <w:spacing w:after="120"/>
        <w:ind w:left="737" w:hanging="737"/>
        <w:jc w:val="both"/>
      </w:pPr>
      <w:r w:rsidRPr="000D13BB">
        <w:t xml:space="preserve">The row entries in the account follow the basic form of the asset account in the SEEA Central Framework: opening stock, additions, reductions and closing stock. Additions to and reductions in stock have been split between managed and unmanaged expansion and contraction. The net carbon balance equals addition to stock minus reductions in stock. </w:t>
      </w:r>
    </w:p>
    <w:p w14:paraId="70B3C3D3" w14:textId="77777777" w:rsidR="00F61A08" w:rsidRPr="000D13BB" w:rsidRDefault="00F61A08">
      <w:pPr>
        <w:pStyle w:val="ListParagraph"/>
        <w:numPr>
          <w:ilvl w:val="0"/>
          <w:numId w:val="26"/>
        </w:numPr>
        <w:spacing w:after="120"/>
        <w:ind w:left="737" w:hanging="737"/>
        <w:jc w:val="both"/>
      </w:pPr>
      <w:r w:rsidRPr="000D13BB">
        <w:t>All values in the carbon stock account should be in equivalent carbon weights (e.g., tonne carbon). Accordingly, methane (CH</w:t>
      </w:r>
      <w:r w:rsidRPr="000D13BB">
        <w:rPr>
          <w:vertAlign w:val="subscript"/>
        </w:rPr>
        <w:t>4</w:t>
      </w:r>
      <w:r w:rsidRPr="000D13BB">
        <w:t>) and carbon dioxide (CO</w:t>
      </w:r>
      <w:r w:rsidRPr="000D13BB">
        <w:rPr>
          <w:vertAlign w:val="subscript"/>
        </w:rPr>
        <w:t>2</w:t>
      </w:r>
      <w:r w:rsidRPr="000D13BB">
        <w:t>) emissions should be expressed in ton carbon, not in the actual mass of CH</w:t>
      </w:r>
      <w:r w:rsidRPr="000D13BB">
        <w:rPr>
          <w:vertAlign w:val="subscript"/>
        </w:rPr>
        <w:t>4</w:t>
      </w:r>
      <w:r w:rsidRPr="000D13BB">
        <w:t xml:space="preserve"> and CO</w:t>
      </w:r>
      <w:r w:rsidRPr="000D13BB">
        <w:rPr>
          <w:vertAlign w:val="subscript"/>
        </w:rPr>
        <w:t>2</w:t>
      </w:r>
      <w:r w:rsidRPr="000D13BB">
        <w:t>. Similarly, for products like recycled plastic or paper the equivalent carbon content should be determined, using the average composition of these materials to determine the carbon content. For emissions to the atmosphere, a bridge table may be compiled both in ton carbon and in CO</w:t>
      </w:r>
      <w:r w:rsidRPr="000D13BB">
        <w:rPr>
          <w:vertAlign w:val="subscript"/>
        </w:rPr>
        <w:t>2</w:t>
      </w:r>
      <w:r w:rsidRPr="000D13BB">
        <w:t xml:space="preserve"> equivalents, as the latter links to the SEEA Central Framework air emission accounts. </w:t>
      </w:r>
    </w:p>
    <w:p w14:paraId="3B6C734F" w14:textId="1389ABC1" w:rsidR="00F61A08" w:rsidRPr="000D13BB" w:rsidRDefault="00F61A08" w:rsidP="00F61A08">
      <w:pPr>
        <w:pStyle w:val="Caption"/>
        <w:rPr>
          <w:lang w:val="en-GB"/>
        </w:rPr>
      </w:pPr>
      <w:bookmarkStart w:id="37" w:name="_Ref53763661"/>
      <w:bookmarkStart w:id="38" w:name="_Ref53763656"/>
      <w:bookmarkStart w:id="39" w:name="_Toc63671650"/>
      <w:r w:rsidRPr="000D13BB">
        <w:rPr>
          <w:lang w:val="en-GB"/>
        </w:rPr>
        <w:t xml:space="preserve">Table </w:t>
      </w:r>
      <w:r>
        <w:rPr>
          <w:lang w:val="en-GB"/>
        </w:rPr>
        <w:fldChar w:fldCharType="begin"/>
      </w:r>
      <w:r>
        <w:rPr>
          <w:lang w:val="en-GB"/>
        </w:rPr>
        <w:instrText xml:space="preserve"> STYLEREF 1 \s </w:instrText>
      </w:r>
      <w:r>
        <w:rPr>
          <w:lang w:val="en-GB"/>
        </w:rPr>
        <w:fldChar w:fldCharType="separate"/>
      </w:r>
      <w:r w:rsidR="00CA6DF6">
        <w:rPr>
          <w:noProof/>
          <w:lang w:val="en-GB"/>
        </w:rPr>
        <w:t>0</w:t>
      </w:r>
      <w:r>
        <w:rPr>
          <w:lang w:val="en-GB"/>
        </w:rPr>
        <w:fldChar w:fldCharType="end"/>
      </w:r>
      <w:r>
        <w:rPr>
          <w:lang w:val="en-GB"/>
        </w:rPr>
        <w:t>.</w:t>
      </w:r>
      <w:r>
        <w:rPr>
          <w:lang w:val="en-GB"/>
        </w:rPr>
        <w:fldChar w:fldCharType="begin"/>
      </w:r>
      <w:r>
        <w:rPr>
          <w:lang w:val="en-GB"/>
        </w:rPr>
        <w:instrText xml:space="preserve"> SEQ Table \* ARABIC \s 1 </w:instrText>
      </w:r>
      <w:r>
        <w:rPr>
          <w:lang w:val="en-GB"/>
        </w:rPr>
        <w:fldChar w:fldCharType="separate"/>
      </w:r>
      <w:r w:rsidR="00CA6DF6">
        <w:rPr>
          <w:noProof/>
          <w:lang w:val="en-GB"/>
        </w:rPr>
        <w:t>1</w:t>
      </w:r>
      <w:r>
        <w:rPr>
          <w:lang w:val="en-GB"/>
        </w:rPr>
        <w:fldChar w:fldCharType="end"/>
      </w:r>
      <w:bookmarkEnd w:id="37"/>
      <w:r w:rsidRPr="000D13BB">
        <w:rPr>
          <w:lang w:val="en-GB"/>
        </w:rPr>
        <w:t>: Carbon stock account structure</w:t>
      </w:r>
      <w:bookmarkEnd w:id="38"/>
      <w:bookmarkEnd w:id="39"/>
    </w:p>
    <w:p w14:paraId="4A9068B4" w14:textId="77777777" w:rsidR="00F61A08" w:rsidRPr="000D13BB" w:rsidRDefault="00F61A08" w:rsidP="00F61A08">
      <w:pPr>
        <w:rPr>
          <w:lang w:val="en-GB"/>
        </w:rPr>
      </w:pPr>
      <w:r w:rsidRPr="000D13BB">
        <w:rPr>
          <w:noProof/>
          <w:lang w:val="en-GB" w:eastAsia="nl-NL"/>
        </w:rPr>
        <w:drawing>
          <wp:inline distT="0" distB="0" distL="0" distR="0" wp14:anchorId="23C0BFC3" wp14:editId="34896DE3">
            <wp:extent cx="5760720" cy="4014470"/>
            <wp:effectExtent l="0" t="0" r="0" b="0"/>
            <wp:docPr id="186157444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4014470"/>
                    </a:xfrm>
                    <a:prstGeom prst="rect">
                      <a:avLst/>
                    </a:prstGeom>
                    <a:noFill/>
                    <a:ln>
                      <a:noFill/>
                    </a:ln>
                  </pic:spPr>
                </pic:pic>
              </a:graphicData>
            </a:graphic>
          </wp:inline>
        </w:drawing>
      </w:r>
    </w:p>
    <w:p w14:paraId="210D946A" w14:textId="77777777" w:rsidR="00F61A08" w:rsidRPr="000D13BB" w:rsidRDefault="00F61A08" w:rsidP="00F61A08">
      <w:pPr>
        <w:rPr>
          <w:lang w:val="en-GB"/>
        </w:rPr>
      </w:pPr>
    </w:p>
    <w:p w14:paraId="210363E0" w14:textId="77777777" w:rsidR="00F61A08" w:rsidRPr="000D13BB" w:rsidRDefault="00F61A08">
      <w:pPr>
        <w:pStyle w:val="ListParagraph"/>
        <w:numPr>
          <w:ilvl w:val="0"/>
          <w:numId w:val="26"/>
        </w:numPr>
        <w:spacing w:after="120"/>
        <w:ind w:left="737" w:hanging="737"/>
        <w:jc w:val="both"/>
      </w:pPr>
      <w:r w:rsidRPr="000D13BB">
        <w:t>The carbon stock account complements other SEEA accounts. Although broader in coverage, carbon stock accounts are closely linked to the SEEA EA</w:t>
      </w:r>
      <w:r w:rsidRPr="000D13BB">
        <w:rPr>
          <w:lang w:eastAsia="zh-CN"/>
        </w:rPr>
        <w:t xml:space="preserve"> </w:t>
      </w:r>
      <w:r w:rsidRPr="000D13BB">
        <w:t xml:space="preserve">accounts. Carbon accounts can also provide information to support measures of the ecosystem services of carbon sequestration and retention of carbon. They are also closely linked to accounts of the SEEA Central Framework </w:t>
      </w:r>
      <w:r w:rsidRPr="000D13BB">
        <w:lastRenderedPageBreak/>
        <w:t xml:space="preserve">(e.g., physical assets of fossil fuels and minerals, carbon emissions to air, physical product flows to and from the rest of the world). Finally, the SEEA for Agriculture, Forestry and Fisheries (SEEA AFF) provides a detailed description of the links between these economic activities and emissions of carbon with a particular focus on the effects of land use, land use change and forestry (LULUCF) emissions. </w:t>
      </w:r>
    </w:p>
    <w:p w14:paraId="1A1B5926" w14:textId="77777777" w:rsidR="00F61A08" w:rsidRPr="000D13BB" w:rsidRDefault="00F61A08">
      <w:pPr>
        <w:pStyle w:val="ListParagraph"/>
        <w:numPr>
          <w:ilvl w:val="0"/>
          <w:numId w:val="26"/>
        </w:numPr>
        <w:spacing w:after="120"/>
        <w:ind w:left="737" w:hanging="737"/>
        <w:jc w:val="both"/>
      </w:pPr>
      <w:r w:rsidRPr="000D13BB">
        <w:t xml:space="preserve">The measurement of stocks and flows of carbon can support discussion of many policy relevant issues. These issues include the analysis of greenhouse gas emissions, sources of energy, deforestation and land use change, loss of productivity and biomass, and sources and sinks of carbon emissions. For example, carbon stock accounts can complement the existing flow inventories developed under the United Nations Framework Convention on Climate Change and the Kyoto Protocol thereto. Since carbon is also a common focus of policy response, for example carbon taxes, its direct measurement is of high relevance. </w:t>
      </w:r>
    </w:p>
    <w:p w14:paraId="2637D94D" w14:textId="77777777" w:rsidR="00F61A08" w:rsidRPr="000D13BB" w:rsidRDefault="00F61A08">
      <w:pPr>
        <w:pStyle w:val="ListParagraph"/>
        <w:numPr>
          <w:ilvl w:val="0"/>
          <w:numId w:val="26"/>
        </w:numPr>
        <w:spacing w:after="120"/>
        <w:ind w:left="737" w:hanging="737"/>
        <w:jc w:val="both"/>
      </w:pPr>
      <w:r w:rsidRPr="000D13BB">
        <w:t xml:space="preserve">Further, carbon stock accounts can provide consistent and comparable information for policies aimed at, for example, protecting and restoring natural ecosystems, that is, maintaining carbon stocks in the biosphere. Combined with measures of carbon carrying capacity and land-use history, biosphere carbon stock accounts can be used to: </w:t>
      </w:r>
    </w:p>
    <w:p w14:paraId="47983849" w14:textId="77777777" w:rsidR="00F61A08" w:rsidRPr="000D13BB" w:rsidRDefault="00F61A08">
      <w:pPr>
        <w:pStyle w:val="ListParagraph"/>
        <w:numPr>
          <w:ilvl w:val="0"/>
          <w:numId w:val="25"/>
        </w:numPr>
        <w:spacing w:after="120"/>
        <w:jc w:val="both"/>
      </w:pPr>
      <w:r w:rsidRPr="000D13BB">
        <w:t>Investigate the depletion of carbon stocks and the resulting CO</w:t>
      </w:r>
      <w:r w:rsidRPr="000D13BB">
        <w:rPr>
          <w:vertAlign w:val="subscript"/>
        </w:rPr>
        <w:t>2</w:t>
      </w:r>
      <w:r w:rsidRPr="000D13BB">
        <w:t xml:space="preserve"> emissions due to conversion of natural ecosystems to other land uses</w:t>
      </w:r>
    </w:p>
    <w:p w14:paraId="35B43624" w14:textId="77777777" w:rsidR="00F61A08" w:rsidRPr="000D13BB" w:rsidRDefault="00F61A08">
      <w:pPr>
        <w:pStyle w:val="ListParagraph"/>
        <w:numPr>
          <w:ilvl w:val="0"/>
          <w:numId w:val="25"/>
        </w:numPr>
        <w:spacing w:after="120"/>
        <w:jc w:val="both"/>
      </w:pPr>
      <w:r w:rsidRPr="000D13BB">
        <w:t>Prioritize use of land for restoration of biological carbon stocks through reforestation, afforestation, revegetation, restoration and improved land management, taking account of differing trade-offs in respect of ecosystem services, biodiversity, food, fibre and wood production</w:t>
      </w:r>
    </w:p>
    <w:p w14:paraId="5D8DD2F3" w14:textId="77777777" w:rsidR="00F61A08" w:rsidRPr="000D13BB" w:rsidRDefault="00F61A08">
      <w:pPr>
        <w:pStyle w:val="ListParagraph"/>
        <w:numPr>
          <w:ilvl w:val="0"/>
          <w:numId w:val="25"/>
        </w:numPr>
        <w:spacing w:after="120"/>
        <w:jc w:val="both"/>
      </w:pPr>
      <w:r w:rsidRPr="000D13BB">
        <w:t>Identify land uses that result in carbon removal or retention.</w:t>
      </w:r>
    </w:p>
    <w:p w14:paraId="24E2A63F" w14:textId="77777777" w:rsidR="00F61A08" w:rsidRPr="000D13BB" w:rsidRDefault="00F61A08" w:rsidP="00F61A08">
      <w:pPr>
        <w:ind w:left="720"/>
        <w:rPr>
          <w:lang w:val="en-GB" w:eastAsia="zh-CN"/>
        </w:rPr>
      </w:pPr>
    </w:p>
    <w:p w14:paraId="26107CEE" w14:textId="491A8B51" w:rsidR="00F61A08" w:rsidRPr="000D13BB" w:rsidRDefault="00F61A08" w:rsidP="00F61A08">
      <w:pPr>
        <w:pStyle w:val="Heading3"/>
        <w:numPr>
          <w:ilvl w:val="0"/>
          <w:numId w:val="0"/>
        </w:numPr>
        <w:ind w:left="17"/>
      </w:pPr>
      <w:bookmarkStart w:id="40" w:name="_Toc63671572"/>
      <w:bookmarkStart w:id="41" w:name="_Toc239173057"/>
      <w:r>
        <w:t>13.4.4</w:t>
      </w:r>
      <w:r>
        <w:tab/>
      </w:r>
      <w:r w:rsidRPr="000D13BB">
        <w:t>Other climate change related accounts and indicators</w:t>
      </w:r>
      <w:bookmarkEnd w:id="40"/>
      <w:bookmarkEnd w:id="41"/>
      <w:r w:rsidRPr="000D13BB">
        <w:t xml:space="preserve"> </w:t>
      </w:r>
    </w:p>
    <w:p w14:paraId="61957938" w14:textId="77777777" w:rsidR="00F61A08" w:rsidRPr="000D13BB" w:rsidRDefault="00F61A08">
      <w:pPr>
        <w:pStyle w:val="ListParagraph"/>
        <w:numPr>
          <w:ilvl w:val="0"/>
          <w:numId w:val="26"/>
        </w:numPr>
        <w:spacing w:after="120"/>
        <w:ind w:left="737" w:hanging="737"/>
        <w:jc w:val="both"/>
      </w:pPr>
      <w:r w:rsidRPr="000D13BB">
        <w:t>Beyond the relevance of information from the ecosystem accounts and the carbon stock accounts, there are two other accounts that are highlighted. The SEEA Central Framework air emission account records the generation of air emissions by resident economic units by type of substance. These include the greenhouse gases CO</w:t>
      </w:r>
      <w:r w:rsidRPr="000D13BB">
        <w:rPr>
          <w:vertAlign w:val="subscript"/>
        </w:rPr>
        <w:t>2</w:t>
      </w:r>
      <w:r w:rsidRPr="000D13BB">
        <w:t>, CH</w:t>
      </w:r>
      <w:r w:rsidRPr="000D13BB">
        <w:rPr>
          <w:vertAlign w:val="subscript"/>
        </w:rPr>
        <w:t>4</w:t>
      </w:r>
      <w:r w:rsidRPr="000D13BB">
        <w:t>, N</w:t>
      </w:r>
      <w:r w:rsidRPr="000D13BB">
        <w:rPr>
          <w:vertAlign w:val="subscript"/>
        </w:rPr>
        <w:t>2</w:t>
      </w:r>
      <w:r w:rsidRPr="000D13BB">
        <w:t xml:space="preserve">O and the F gasses. All emissions by establishments and households </w:t>
      </w:r>
      <w:proofErr w:type="gramStart"/>
      <w:r w:rsidRPr="000D13BB">
        <w:t>as a result of</w:t>
      </w:r>
      <w:proofErr w:type="gramEnd"/>
      <w:r w:rsidRPr="000D13BB">
        <w:t xml:space="preserve"> production, consumption and accumulation processes are included. </w:t>
      </w:r>
    </w:p>
    <w:p w14:paraId="3E58537A" w14:textId="77777777" w:rsidR="00F61A08" w:rsidRPr="000D13BB" w:rsidRDefault="00F61A08">
      <w:pPr>
        <w:pStyle w:val="ListParagraph"/>
        <w:numPr>
          <w:ilvl w:val="0"/>
          <w:numId w:val="26"/>
        </w:numPr>
        <w:spacing w:after="120"/>
        <w:ind w:left="737" w:hanging="737"/>
        <w:jc w:val="both"/>
      </w:pPr>
      <w:r w:rsidRPr="000D13BB">
        <w:t>The GHG emissions by economic activities, as recorded in the SEEA, differ from the total emissions on a national territory or the emissions calculated according to the compilation guidelines of the IPCC. This is because different concepts and calculation methods underlie the different emission data. For instance, SEEA Air emission accounts include emissions due to international transport based on residence of economic units involved. Bridge tables provide insight in the relations between the different emission concepts.</w:t>
      </w:r>
    </w:p>
    <w:p w14:paraId="5D874C01" w14:textId="77777777" w:rsidR="00F61A08" w:rsidRPr="000D13BB" w:rsidRDefault="00F61A08">
      <w:pPr>
        <w:pStyle w:val="ListParagraph"/>
        <w:numPr>
          <w:ilvl w:val="0"/>
          <w:numId w:val="26"/>
        </w:numPr>
        <w:spacing w:after="120"/>
        <w:ind w:left="737" w:hanging="737"/>
        <w:jc w:val="both"/>
      </w:pPr>
      <w:r w:rsidRPr="000D13BB">
        <w:t xml:space="preserve">Included in the scope the of SEEA Central Framework air emission accounts are emissions from cultivated livestock due to digestion (primarily methane), and emissions from soil </w:t>
      </w:r>
      <w:proofErr w:type="gramStart"/>
      <w:r w:rsidRPr="000D13BB">
        <w:t>as a consequence of</w:t>
      </w:r>
      <w:proofErr w:type="gramEnd"/>
      <w:r w:rsidRPr="000D13BB">
        <w:t xml:space="preserve"> cultivation and other land-use practices that affect soils, or other soil disturbances such </w:t>
      </w:r>
      <w:proofErr w:type="gramStart"/>
      <w:r w:rsidRPr="000D13BB">
        <w:t>as a result of</w:t>
      </w:r>
      <w:proofErr w:type="gramEnd"/>
      <w:r w:rsidRPr="000D13BB">
        <w:t xml:space="preserve"> construction or land clearance. Emissions from natural processes such as </w:t>
      </w:r>
      <w:r w:rsidRPr="000D13BB">
        <w:lastRenderedPageBreak/>
        <w:t>unintended forest and grassland fires, emissions from peatland, but also human metabolic processes are excluded. However, emissions from these sources are included in the carbon stock accounts.</w:t>
      </w:r>
    </w:p>
    <w:p w14:paraId="2A7BB6A7" w14:textId="77777777" w:rsidR="00F61A08" w:rsidRPr="000D13BB" w:rsidRDefault="00F61A08">
      <w:pPr>
        <w:pStyle w:val="ListParagraph"/>
        <w:numPr>
          <w:ilvl w:val="0"/>
          <w:numId w:val="26"/>
        </w:numPr>
        <w:spacing w:after="120"/>
        <w:ind w:left="737" w:hanging="737"/>
        <w:jc w:val="both"/>
      </w:pPr>
      <w:proofErr w:type="gramStart"/>
      <w:r w:rsidRPr="000D13BB">
        <w:t>In order to</w:t>
      </w:r>
      <w:proofErr w:type="gramEnd"/>
      <w:r w:rsidRPr="000D13BB">
        <w:t xml:space="preserve"> permit effective linking of physical flow data to monetary data, the physical flows of emissions are classified using the same classifications used in the SNA. The emissions recorded for CO</w:t>
      </w:r>
      <w:r w:rsidRPr="000D13BB">
        <w:rPr>
          <w:vertAlign w:val="subscript"/>
        </w:rPr>
        <w:t>2</w:t>
      </w:r>
      <w:r w:rsidRPr="000D13BB">
        <w:t xml:space="preserve"> end CH</w:t>
      </w:r>
      <w:r w:rsidRPr="000D13BB">
        <w:rPr>
          <w:vertAlign w:val="subscript"/>
        </w:rPr>
        <w:t>4</w:t>
      </w:r>
      <w:r w:rsidRPr="000D13BB">
        <w:t xml:space="preserve"> in the SEEA Central Framework air emission account directly link to the removal (managed expansion) of carbon from the atmosphere and the emission (managed contraction) of carbon by the economy as recorded in the carbon stock account.</w:t>
      </w:r>
    </w:p>
    <w:p w14:paraId="671AFAE9" w14:textId="77777777" w:rsidR="00F61A08" w:rsidRPr="000D13BB" w:rsidRDefault="00F61A08">
      <w:pPr>
        <w:pStyle w:val="ListParagraph"/>
        <w:numPr>
          <w:ilvl w:val="0"/>
          <w:numId w:val="26"/>
        </w:numPr>
        <w:spacing w:after="120"/>
        <w:ind w:left="737" w:hanging="737"/>
        <w:jc w:val="both"/>
      </w:pPr>
      <w:r w:rsidRPr="000D13BB">
        <w:t xml:space="preserve">The SEEA CF environmental activity accounts record transactions in monetary terms between economic units that may be considered environmental. Generally, these transactions concern activity undertaken to preserve and protect the environment. Transactions in environmental activity accounts are classified by the </w:t>
      </w:r>
      <w:bookmarkStart w:id="42" w:name="_Hlk53764144"/>
      <w:r w:rsidRPr="000D13BB">
        <w:t xml:space="preserve">classification for environmental activities (CEA). </w:t>
      </w:r>
      <w:bookmarkEnd w:id="42"/>
      <w:r w:rsidRPr="000D13BB">
        <w:t xml:space="preserve">Two classes are particularly relevant for climate change: EP 1 Protection of ambient air and climate, which includes activities aimed at the control of emissions of greenhouse gases, and RM 10 Management of mineral and energy resources, which includes activities related to energy saving and renewable energy production. Selecting these classes from the accounts provides data on the mitigation costs for climate change, the economic benefits that result from the energy transition </w:t>
      </w:r>
      <w:proofErr w:type="gramStart"/>
      <w:r w:rsidRPr="000D13BB">
        <w:t>with regard to</w:t>
      </w:r>
      <w:proofErr w:type="gramEnd"/>
      <w:r w:rsidRPr="000D13BB">
        <w:t xml:space="preserve"> labour and the contribution to GDP.</w:t>
      </w:r>
    </w:p>
    <w:p w14:paraId="1118991C" w14:textId="77777777" w:rsidR="00F61A08" w:rsidRPr="000D13BB" w:rsidRDefault="00F61A08">
      <w:pPr>
        <w:pStyle w:val="ListParagraph"/>
        <w:numPr>
          <w:ilvl w:val="0"/>
          <w:numId w:val="26"/>
        </w:numPr>
        <w:spacing w:after="120"/>
        <w:ind w:left="737" w:hanging="737"/>
        <w:jc w:val="both"/>
        <w:rPr>
          <w:lang w:eastAsia="zh-CN"/>
        </w:rPr>
      </w:pPr>
      <w:r w:rsidRPr="000D13BB">
        <w:t>As well, there are a range of transactions, such as taxes and subsidies, that reflect efforts by governments, on behalf of society, to influence the behaviour of producers and consumers with respect to the environment. Payments and financial transactions relating to carbon taxes and emission permits are recorded in the SNA.</w:t>
      </w:r>
    </w:p>
    <w:p w14:paraId="77B68030" w14:textId="77777777" w:rsidR="00F61A08" w:rsidRPr="000D13BB" w:rsidRDefault="00F61A08">
      <w:pPr>
        <w:pStyle w:val="ListParagraph"/>
        <w:numPr>
          <w:ilvl w:val="0"/>
          <w:numId w:val="26"/>
        </w:numPr>
        <w:spacing w:after="120"/>
        <w:ind w:left="737" w:hanging="737"/>
        <w:jc w:val="both"/>
        <w:rPr>
          <w:lang w:eastAsia="zh-CN"/>
        </w:rPr>
      </w:pPr>
      <w:r w:rsidRPr="000D13BB">
        <w:rPr>
          <w:lang w:eastAsia="zh-CN"/>
        </w:rPr>
        <w:t xml:space="preserve">There is a wide range of indicators that may be derived from the various SEEA accounts concerning climate change. Examples include indicators of energy and emission intensity, indicators concerning carbon taxes and emission permits and indicators of expenditure on climate change related responses. The SEEA Applications and Extensions provides a range of guidance in this area </w:t>
      </w:r>
      <w:proofErr w:type="gramStart"/>
      <w:r w:rsidRPr="000D13BB">
        <w:rPr>
          <w:lang w:eastAsia="zh-CN"/>
        </w:rPr>
        <w:t>in particular concerning</w:t>
      </w:r>
      <w:proofErr w:type="gramEnd"/>
      <w:r w:rsidRPr="000D13BB">
        <w:rPr>
          <w:lang w:eastAsia="zh-CN"/>
        </w:rPr>
        <w:t xml:space="preserve"> the potential to undertake relevant structural decomposition analysis and </w:t>
      </w:r>
      <w:proofErr w:type="spellStart"/>
      <w:r w:rsidRPr="000D13BB">
        <w:rPr>
          <w:lang w:eastAsia="zh-CN"/>
        </w:rPr>
        <w:t>footprinting</w:t>
      </w:r>
      <w:proofErr w:type="spellEnd"/>
      <w:r w:rsidRPr="000D13BB">
        <w:rPr>
          <w:lang w:eastAsia="zh-CN"/>
        </w:rPr>
        <w:t xml:space="preserve"> which estimates the emissions embodied in goods and services that are imported (and exported) thus showing production and consumption perspectives. There is also the potential for data from the accounts to support climate change modelling in terms of implications of projected climate change scenarios on economic activity.</w:t>
      </w:r>
    </w:p>
    <w:p w14:paraId="2F60BA68" w14:textId="77777777" w:rsidR="00F61A08" w:rsidRPr="000D13BB" w:rsidRDefault="00F61A08">
      <w:pPr>
        <w:pStyle w:val="ListParagraph"/>
        <w:numPr>
          <w:ilvl w:val="0"/>
          <w:numId w:val="26"/>
        </w:numPr>
        <w:spacing w:after="120"/>
        <w:ind w:left="737" w:hanging="737"/>
        <w:jc w:val="both"/>
      </w:pPr>
      <w:r w:rsidRPr="000D13BB">
        <w:t xml:space="preserve">Various indicators can be derived directly from carbon stock accounts or in combination with other information, such as land cover, land use, population, and industry value added. The suite of indicators can provide a rich information source for policy makers, researchers and the public. For example, comparing the actual carbon stock of different ecosystems with their carbon carrying capacities can inform land use decision making where there are significant competing uses of land for food and fibre. </w:t>
      </w:r>
    </w:p>
    <w:p w14:paraId="2CDC031F" w14:textId="77777777" w:rsidR="00F61A08" w:rsidRPr="000D13BB" w:rsidRDefault="00F61A08">
      <w:pPr>
        <w:pStyle w:val="ListParagraph"/>
        <w:numPr>
          <w:ilvl w:val="0"/>
          <w:numId w:val="26"/>
        </w:numPr>
        <w:spacing w:after="120"/>
        <w:ind w:left="737" w:hanging="737"/>
        <w:jc w:val="both"/>
        <w:rPr>
          <w:lang w:eastAsia="zh-CN"/>
        </w:rPr>
      </w:pPr>
      <w:r w:rsidRPr="000D13BB">
        <w:t xml:space="preserve">An indicator that can be derived from the carbon stock account is the ‘net ecosystem carbon balance’ which can be used as the metric for measuring carbon sequestration. This indicator relates to the change in the stock of carbon in selected reservoirs over an accounting period. Commonly the focus of net carbon balance measures is on biocarbon but, depending on the analysis, the scope of the measure may also include parts of </w:t>
      </w:r>
      <w:proofErr w:type="spellStart"/>
      <w:r w:rsidRPr="000D13BB">
        <w:t>geocarbon</w:t>
      </w:r>
      <w:proofErr w:type="spellEnd"/>
      <w:r w:rsidRPr="000D13BB">
        <w:t xml:space="preserve">, carbon in the economy and carbon in other </w:t>
      </w:r>
      <w:r w:rsidRPr="000D13BB">
        <w:lastRenderedPageBreak/>
        <w:t xml:space="preserve">reservoirs. There are also </w:t>
      </w:r>
      <w:r w:rsidRPr="000D13BB">
        <w:rPr>
          <w:lang w:eastAsia="zh-CN"/>
        </w:rPr>
        <w:t>links that can be made to support the measurement of SDG 13 “Take urgent action to combat climate change and its impacts”.</w:t>
      </w:r>
    </w:p>
    <w:p w14:paraId="39ACC3CB" w14:textId="77777777" w:rsidR="00F61A08" w:rsidRDefault="00F61A08" w:rsidP="00866387">
      <w:pPr>
        <w:rPr>
          <w:rFonts w:cstheme="minorHAnsi"/>
          <w:sz w:val="22"/>
          <w:szCs w:val="22"/>
        </w:rPr>
      </w:pPr>
    </w:p>
    <w:p w14:paraId="525D551F" w14:textId="7D25D49A" w:rsidR="00F61A08" w:rsidRPr="000D13BB" w:rsidRDefault="00F61A08" w:rsidP="00F61A08">
      <w:pPr>
        <w:pStyle w:val="Heading2"/>
        <w:numPr>
          <w:ilvl w:val="0"/>
          <w:numId w:val="0"/>
        </w:numPr>
        <w:ind w:left="720" w:hanging="720"/>
      </w:pPr>
      <w:bookmarkStart w:id="43" w:name="_Ref53764118"/>
      <w:bookmarkStart w:id="44" w:name="_Toc54459486"/>
      <w:bookmarkStart w:id="45" w:name="_Toc63671585"/>
      <w:bookmarkStart w:id="46" w:name="_Toc239173058"/>
      <w:r>
        <w:t>A</w:t>
      </w:r>
      <w:r w:rsidRPr="000D13BB">
        <w:t xml:space="preserve">nnex </w:t>
      </w:r>
      <w:bookmarkEnd w:id="43"/>
      <w:r w:rsidRPr="000D13BB">
        <w:t>13.2: Carbon stock account</w:t>
      </w:r>
      <w:bookmarkEnd w:id="44"/>
      <w:bookmarkEnd w:id="45"/>
      <w:bookmarkEnd w:id="46"/>
    </w:p>
    <w:p w14:paraId="61976738" w14:textId="7437EAD3" w:rsidR="00F61A08" w:rsidRPr="000D13BB" w:rsidRDefault="00F61A08">
      <w:pPr>
        <w:pStyle w:val="ListParagraph"/>
        <w:numPr>
          <w:ilvl w:val="0"/>
          <w:numId w:val="24"/>
        </w:numPr>
        <w:spacing w:after="120"/>
        <w:ind w:left="737" w:hanging="737"/>
        <w:jc w:val="both"/>
      </w:pPr>
      <w:r w:rsidRPr="000D13BB">
        <w:t xml:space="preserve">The rationale for carbon stock accounting in the context of ecosystem accounting was discussed in section 13.4. The present annex provides some additional details on the structure and accounting entries related to the carbon stock account as presented in </w:t>
      </w:r>
      <w:r w:rsidRPr="000D13BB">
        <w:fldChar w:fldCharType="begin"/>
      </w:r>
      <w:r w:rsidRPr="000D13BB">
        <w:instrText xml:space="preserve"> REF _Ref53763661 \h  \* MERGEFORMAT </w:instrText>
      </w:r>
      <w:r w:rsidRPr="000D13BB">
        <w:fldChar w:fldCharType="separate"/>
      </w:r>
      <w:r w:rsidR="00CA6DF6" w:rsidRPr="00CA6DF6">
        <w:t xml:space="preserve">Table </w:t>
      </w:r>
      <w:r w:rsidR="00CA6DF6" w:rsidRPr="00CA6DF6">
        <w:rPr>
          <w:rFonts w:ascii="Arial" w:hAnsi="Arial" w:cs="Arial"/>
        </w:rPr>
        <w:t>0.1</w:t>
      </w:r>
      <w:r w:rsidRPr="000D13BB">
        <w:fldChar w:fldCharType="end"/>
      </w:r>
      <w:r w:rsidRPr="000D13BB">
        <w:t>. The carbon stock account presented in that table provides a complete and ecologically grounded articulation of carbon accounting based on the carbon cycle</w:t>
      </w:r>
      <w:proofErr w:type="gramStart"/>
      <w:r w:rsidRPr="000D13BB">
        <w:t xml:space="preserve"> and, in particular,</w:t>
      </w:r>
      <w:proofErr w:type="gramEnd"/>
      <w:r w:rsidRPr="000D13BB">
        <w:t xml:space="preserve"> the differences in the nature of specific carbon reservoirs. Opening and closing stocks of carbon are recorded, together with the various changes occurring between the beginning and end of the accounting period recorded as either additions to or reductions in the stock.</w:t>
      </w:r>
    </w:p>
    <w:p w14:paraId="085FAAD6" w14:textId="77777777" w:rsidR="00F61A08" w:rsidRPr="000D13BB" w:rsidRDefault="00F61A08">
      <w:pPr>
        <w:pStyle w:val="ListParagraph"/>
        <w:numPr>
          <w:ilvl w:val="0"/>
          <w:numId w:val="24"/>
        </w:numPr>
        <w:spacing w:after="120"/>
        <w:ind w:left="737" w:hanging="737"/>
        <w:jc w:val="both"/>
      </w:pPr>
      <w:r w:rsidRPr="000D13BB">
        <w:t xml:space="preserve">Carbon stocks are disaggregated into </w:t>
      </w:r>
      <w:proofErr w:type="spellStart"/>
      <w:r w:rsidRPr="000D13BB">
        <w:t>geocarbon</w:t>
      </w:r>
      <w:proofErr w:type="spellEnd"/>
      <w:r w:rsidRPr="000D13BB">
        <w:t>, biocarbon, carbon accumulated in the economy, carbon in the oceans (inorganic only) and carbon in the atmosphere.</w:t>
      </w:r>
    </w:p>
    <w:p w14:paraId="59297EE6" w14:textId="77777777" w:rsidR="00F61A08" w:rsidRPr="000D13BB" w:rsidRDefault="00F61A08">
      <w:pPr>
        <w:pStyle w:val="ListParagraph"/>
        <w:numPr>
          <w:ilvl w:val="0"/>
          <w:numId w:val="24"/>
        </w:numPr>
        <w:spacing w:after="120"/>
        <w:ind w:left="737" w:hanging="737"/>
        <w:jc w:val="both"/>
      </w:pPr>
      <w:proofErr w:type="spellStart"/>
      <w:r w:rsidRPr="000D13BB">
        <w:t>Geocarbon</w:t>
      </w:r>
      <w:proofErr w:type="spellEnd"/>
      <w:r w:rsidRPr="000D13BB">
        <w:t xml:space="preserve"> includes all carbon stored in the lithosphere, excluding all organic carbon stored in dead biomass.</w:t>
      </w:r>
      <w:r w:rsidRPr="000D13BB">
        <w:rPr>
          <w:vertAlign w:val="superscript"/>
        </w:rPr>
        <w:footnoteReference w:id="5"/>
      </w:r>
      <w:r w:rsidRPr="000D13BB">
        <w:t xml:space="preserve"> Basically, carbon that is part of the Earth’s lithosphere is considered as </w:t>
      </w:r>
      <w:proofErr w:type="spellStart"/>
      <w:r w:rsidRPr="000D13BB">
        <w:t>geocarbon</w:t>
      </w:r>
      <w:proofErr w:type="spellEnd"/>
      <w:r w:rsidRPr="000D13BB">
        <w:t xml:space="preserve"> (or geological carbon: carbon present in the Earth’s bedrock and sediments, primarily from marine sediment deposits), as well as carbon formed originally in the Earth’s biosphere millions of years ago, that, after geological metamorphosis due to high pressure and temperatures in the Earth’s crust, was transformed into e.g., oil and gas (organic </w:t>
      </w:r>
      <w:proofErr w:type="spellStart"/>
      <w:r w:rsidRPr="000D13BB">
        <w:t>geocarbon</w:t>
      </w:r>
      <w:proofErr w:type="spellEnd"/>
      <w:r w:rsidRPr="000D13BB">
        <w:t>). Organic carbon in soils and in peat deposits is included in biocarbon.</w:t>
      </w:r>
      <w:r w:rsidRPr="000D13BB">
        <w:rPr>
          <w:vertAlign w:val="superscript"/>
        </w:rPr>
        <w:footnoteReference w:id="6"/>
      </w:r>
      <w:r w:rsidRPr="000D13BB">
        <w:t xml:space="preserve"> Where the information generated from the accounts is policy-focused, the priority should be given to reporting those stocks that are being impacted by human activity (e.g., fossil fuels).</w:t>
      </w:r>
    </w:p>
    <w:p w14:paraId="27F62F5F" w14:textId="77777777" w:rsidR="00F61A08" w:rsidRPr="000D13BB" w:rsidRDefault="00F61A08">
      <w:pPr>
        <w:pStyle w:val="ListParagraph"/>
        <w:numPr>
          <w:ilvl w:val="0"/>
          <w:numId w:val="24"/>
        </w:numPr>
        <w:spacing w:after="120"/>
        <w:ind w:left="737" w:hanging="737"/>
        <w:jc w:val="both"/>
      </w:pPr>
      <w:r w:rsidRPr="000D13BB">
        <w:t>Biocarbon includes all organic carbon in the biosphere, i.e., carbon in living biomass (plants and animals) and dead biomass (soil organic matter and sedimentary organic matter)</w:t>
      </w:r>
      <w:r w:rsidRPr="000D13BB">
        <w:rPr>
          <w:vertAlign w:val="superscript"/>
        </w:rPr>
        <w:footnoteReference w:id="7"/>
      </w:r>
      <w:r w:rsidRPr="000D13BB">
        <w:t xml:space="preserve"> Biocarbon includes biomass in crops, grass in meadows, which is thus not considered as carbon accumulated in the economy. Carbon stored in livestock, however, is considered as part of ‘carbon in the economy’. Carbon stored in timber products, including timber used for construction, is also included as part of ‘carbon in the economy’.</w:t>
      </w:r>
    </w:p>
    <w:p w14:paraId="2A8425FB" w14:textId="77777777" w:rsidR="00F61A08" w:rsidRPr="000D13BB" w:rsidRDefault="00F61A08">
      <w:pPr>
        <w:pStyle w:val="ListParagraph"/>
        <w:numPr>
          <w:ilvl w:val="0"/>
          <w:numId w:val="24"/>
        </w:numPr>
        <w:spacing w:after="120"/>
        <w:ind w:left="737" w:hanging="737"/>
        <w:jc w:val="both"/>
      </w:pPr>
      <w:r w:rsidRPr="000D13BB">
        <w:t>Biocarbon is classified by type of ecosystem, at the highest level according to the three main realms of the Global Ecosystem Typology (marine, freshwaters and saline wetlands, terrestrial). These high-level classes can be further broken-down using level 3 of the IUCN GET. It is recommended to separately record carbon in agricultural and other anthropogenic systems, to allow the distinction between carbon removal and emissions between natural and semi natural ecosystems and anthropogenic ecosystems.</w:t>
      </w:r>
      <w:r>
        <w:t xml:space="preserve"> </w:t>
      </w:r>
    </w:p>
    <w:p w14:paraId="2AB1D930" w14:textId="77777777" w:rsidR="00F61A08" w:rsidRPr="000D13BB" w:rsidRDefault="00F61A08">
      <w:pPr>
        <w:pStyle w:val="ListParagraph"/>
        <w:numPr>
          <w:ilvl w:val="0"/>
          <w:numId w:val="24"/>
        </w:numPr>
        <w:spacing w:after="120"/>
        <w:ind w:left="737" w:hanging="737"/>
        <w:jc w:val="both"/>
      </w:pPr>
      <w:r w:rsidRPr="000D13BB">
        <w:lastRenderedPageBreak/>
        <w:t>The stability of the carbon stocks in the biosphere depends significantly on ecosystem characteristics. In natural ecosystems, biodiversity underpins the stability of carbon stocks by bestowing resilience and the capacity to adapt and self-regenerate</w:t>
      </w:r>
      <w:r>
        <w:t xml:space="preserve"> </w:t>
      </w:r>
      <w:r>
        <w:fldChar w:fldCharType="begin" w:fldLock="1"/>
      </w:r>
      <w:r>
        <w:instrText>ADDIN CSL_CITATION {"citationItems":[{"id":"ITEM-1","itemData":{"author":[{"dropping-particle":"","family":"Thompson","given":"Ian","non-dropping-particle":"","parse-names":false,"suffix":""},{"dropping-particle":"","family":"Mackey","given":"Brendan","non-dropping-particle":"","parse-names":false,"suffix":""},{"dropping-particle":"","family":"Mcnulty","given":"Steven","non-dropping-particle":"","parse-names":false,"suffix":""},{"dropping-particle":"","family":"Mosseler","given":"Alex","non-dropping-particle":"","parse-names":false,"suffix":""}],"container-title":"Technical Series no. 43","id":"ITEM-1","issued":{"date-parts":[["2009"]]},"number-of-pages":"67","publisher":"Secretariat of the Convention on Biological Diversity, Montreal.","title":"Forest Resilience, Biodiversity, and Climate Change. A Synthesis of the Biodiversity/Resilience/Stability Relationship in Forest Ecosystems","type":"book"},"uris":["http://www.mendeley.com/documents/?uuid=1ad23bba-846e-4ba3-901f-e648efc4224f"]}],"mendeley":{"formattedCitation":"(Thompson et al., 2009)","plainTextFormattedCitation":"(Thompson et al., 2009)","previouslyFormattedCitation":"(Thompson et al., 2009)"},"properties":{"noteIndex":0},"schema":"https://github.com/citation-style-language/schema/raw/master/csl-citation.json"}</w:instrText>
      </w:r>
      <w:r>
        <w:fldChar w:fldCharType="separate"/>
      </w:r>
      <w:r w:rsidRPr="00875ECD">
        <w:rPr>
          <w:noProof/>
        </w:rPr>
        <w:t>(Thompson et al., 2009)</w:t>
      </w:r>
      <w:r>
        <w:fldChar w:fldCharType="end"/>
      </w:r>
      <w:r w:rsidRPr="000D13BB">
        <w:t xml:space="preserve">. Stability confers longevity and hence the capacity for natural ecosystems to accumulate large amounts of carbon over centuries to millenniums, for example, in the woody stems of old trees and in soil. Semi-modified and highly modified ecosystems are generally less resilient and less stable </w:t>
      </w:r>
      <w:r w:rsidRPr="000D13BB">
        <w:fldChar w:fldCharType="begin" w:fldLock="1"/>
      </w:r>
      <w:r w:rsidRPr="000D13BB">
        <w:instrText>ADDIN CSL_CITATION {"citationItems":[{"id":"ITEM-1","itemData":{"author":[{"dropping-particle":"","family":"Thompson","given":"Ian","non-dropping-particle":"","parse-names":false,"suffix":""},{"dropping-particle":"","family":"Mackey","given":"Brendan","non-dropping-particle":"","parse-names":false,"suffix":""},{"dropping-particle":"","family":"Mcnulty","given":"Steven","non-dropping-particle":"","parse-names":false,"suffix":""},{"dropping-particle":"","family":"Mosseler","given":"Alex","non-dropping-particle":"","parse-names":false,"suffix":""}],"container-title":"Technical Series no. 43","id":"ITEM-1","issued":{"date-parts":[["2009"]]},"number-of-pages":"67","publisher":"Secretariat of the Convention on Biological Diversity, Montreal.","title":"Forest Resilience, Biodiversity, and Climate Change. A Synthesis of the Biodiversity/Resilience/Stability Relationship in Forest Ecosystems","type":"book"},"uris":["http://www.mendeley.com/documents/?uuid=1ad23bba-846e-4ba3-901f-e648efc4224f"]}],"mendeley":{"formattedCitation":"(Thompson et al., 2009)","plainTextFormattedCitation":"(Thompson et al., 2009)","previouslyFormattedCitation":"(Thompson et al., 2009)"},"properties":{"noteIndex":0},"schema":"https://github.com/citation-style-language/schema/raw/master/csl-citation.json"}</w:instrText>
      </w:r>
      <w:r w:rsidRPr="000D13BB">
        <w:fldChar w:fldCharType="separate"/>
      </w:r>
      <w:r w:rsidRPr="000D13BB">
        <w:rPr>
          <w:noProof/>
        </w:rPr>
        <w:t>(Thompson et al., 2009)</w:t>
      </w:r>
      <w:r w:rsidRPr="000D13BB">
        <w:fldChar w:fldCharType="end"/>
      </w:r>
      <w:r w:rsidRPr="000D13BB">
        <w:t>. These ecosystems therefore accumulate smaller carbon stocks, particularly if the land is used for agriculture where the plants are harvested or grazed regularly.</w:t>
      </w:r>
    </w:p>
    <w:p w14:paraId="03E5D976" w14:textId="77777777" w:rsidR="00F61A08" w:rsidRPr="000D13BB" w:rsidRDefault="00F61A08">
      <w:pPr>
        <w:pStyle w:val="ListParagraph"/>
        <w:numPr>
          <w:ilvl w:val="0"/>
          <w:numId w:val="24"/>
        </w:numPr>
        <w:spacing w:after="120"/>
        <w:ind w:left="737" w:hanging="737"/>
        <w:jc w:val="both"/>
      </w:pPr>
      <w:r w:rsidRPr="000D13BB">
        <w:t>The atmosphere contains carbon mainly in the form of CO</w:t>
      </w:r>
      <w:r w:rsidRPr="000D13BB">
        <w:rPr>
          <w:vertAlign w:val="subscript"/>
        </w:rPr>
        <w:t>2</w:t>
      </w:r>
      <w:r w:rsidRPr="000D13BB">
        <w:t xml:space="preserve"> and methane. The atmosphere is a receiving environment </w:t>
      </w:r>
      <w:proofErr w:type="gramStart"/>
      <w:r w:rsidRPr="000D13BB">
        <w:t>with regard to</w:t>
      </w:r>
      <w:proofErr w:type="gramEnd"/>
      <w:r w:rsidRPr="000D13BB">
        <w:t xml:space="preserve"> carbon from the primary reservoirs </w:t>
      </w:r>
      <w:proofErr w:type="spellStart"/>
      <w:r w:rsidRPr="000D13BB">
        <w:t>geocarbon</w:t>
      </w:r>
      <w:proofErr w:type="spellEnd"/>
      <w:r w:rsidRPr="000D13BB">
        <w:t xml:space="preserve"> and biocarbon but also from emissions from carbon used in the economy. On the other hand, carbon uptake from the atmosphere may take place by carbon sequestration in biocarbon. As CO2 and methane act as greenhouse gasses in the atmosphere, accounting for these flows is highly policy relevant. </w:t>
      </w:r>
    </w:p>
    <w:p w14:paraId="23D4413C" w14:textId="77777777" w:rsidR="00F61A08" w:rsidRPr="000D13BB" w:rsidRDefault="00F61A08">
      <w:pPr>
        <w:pStyle w:val="ListParagraph"/>
        <w:numPr>
          <w:ilvl w:val="0"/>
          <w:numId w:val="24"/>
        </w:numPr>
        <w:spacing w:after="120"/>
        <w:ind w:left="737" w:hanging="737"/>
        <w:jc w:val="both"/>
      </w:pPr>
      <w:r w:rsidRPr="000D13BB">
        <w:t xml:space="preserve">The oceans are the receiving environments for carbon released from primary reservoirs and for from its accumulations in the economy. Carbon in oceans includes only inorganic carbon: carbonates dissolved in seawater. Living and non-living organic carbon in oceans is part of biocarbon. Carbonate particulates (e.g., shells) in sediments are part of </w:t>
      </w:r>
      <w:proofErr w:type="spellStart"/>
      <w:r w:rsidRPr="000D13BB">
        <w:t>geocarbon</w:t>
      </w:r>
      <w:proofErr w:type="spellEnd"/>
      <w:r w:rsidRPr="000D13BB">
        <w:t>.</w:t>
      </w:r>
    </w:p>
    <w:p w14:paraId="20D76B92" w14:textId="77777777" w:rsidR="00F61A08" w:rsidRPr="000D13BB" w:rsidRDefault="00F61A08">
      <w:pPr>
        <w:pStyle w:val="ListParagraph"/>
        <w:numPr>
          <w:ilvl w:val="0"/>
          <w:numId w:val="24"/>
        </w:numPr>
        <w:spacing w:after="120"/>
        <w:ind w:left="737" w:hanging="737"/>
        <w:jc w:val="both"/>
      </w:pPr>
      <w:r w:rsidRPr="000D13BB">
        <w:t xml:space="preserve">Accumulations in the economy, which are the stocks of carbon in anthropogenic products, are further disaggregated into the following SNA components: fixed assets (e.g., concrete in buildings, bitumen in roads, livestock); inventories (e.g., petroleum products in storage, excluding those included in agricultural ecosystems); consumer durables (e.g., wood and plastic products); and waste. In turn, these main asset categories can be further disaggregated into biobased (i.e., derived from plants or animals) and non-biobased (i.e., fossil fuels, mineral (inorganic) products and synthetic materials (plastics)). Accounting for waste follows the conventions of the SEEA Central Framework, where waste products (e.g., disposed plastic and wood and paper products) stored in controlled landfill sites are treated as part of the economy. </w:t>
      </w:r>
    </w:p>
    <w:p w14:paraId="0346928A" w14:textId="77777777" w:rsidR="00F61A08" w:rsidRPr="000D13BB" w:rsidRDefault="00F61A08">
      <w:pPr>
        <w:pStyle w:val="ListParagraph"/>
        <w:numPr>
          <w:ilvl w:val="0"/>
          <w:numId w:val="24"/>
        </w:numPr>
        <w:spacing w:after="120"/>
        <w:ind w:left="737" w:hanging="737"/>
        <w:jc w:val="both"/>
      </w:pPr>
      <w:r w:rsidRPr="000D13BB">
        <w:t xml:space="preserve">The flows of carbon that occur within the economy are very significant and essential for understanding the interaction between economy and environment. The level at which </w:t>
      </w:r>
      <w:proofErr w:type="spellStart"/>
      <w:r w:rsidRPr="000D13BB">
        <w:t>geocarbon</w:t>
      </w:r>
      <w:proofErr w:type="spellEnd"/>
      <w:r w:rsidRPr="000D13BB">
        <w:t xml:space="preserve"> and biocarbon stock changes can be linked to the economy will determine the policy usefulness of the carbon stock account. This is particularly relevant in cases where raw materials can be extracted from different ecosystem types (e.g., biomass fuel from natural ecosystems or agricultural ecosystems; meat from agricultural ecosystems or semi-natural ecosystems) or from </w:t>
      </w:r>
      <w:proofErr w:type="spellStart"/>
      <w:r w:rsidRPr="000D13BB">
        <w:t>geocarbon</w:t>
      </w:r>
      <w:proofErr w:type="spellEnd"/>
      <w:r w:rsidRPr="000D13BB">
        <w:t xml:space="preserve"> reservoirs with different carbon contents and emissions profiles.</w:t>
      </w:r>
    </w:p>
    <w:p w14:paraId="45706B16" w14:textId="77777777" w:rsidR="00F61A08" w:rsidRPr="000D13BB" w:rsidRDefault="00F61A08">
      <w:pPr>
        <w:pStyle w:val="ListParagraph"/>
        <w:numPr>
          <w:ilvl w:val="0"/>
          <w:numId w:val="24"/>
        </w:numPr>
        <w:spacing w:after="120"/>
        <w:ind w:left="737" w:hanging="737"/>
        <w:jc w:val="both"/>
      </w:pPr>
      <w:r w:rsidRPr="000D13BB">
        <w:t>Carbon stored through geo-sequestration (i.e., the managed injecting of gaseous CO</w:t>
      </w:r>
      <w:r w:rsidRPr="000D13BB">
        <w:rPr>
          <w:vertAlign w:val="subscript"/>
        </w:rPr>
        <w:t>2</w:t>
      </w:r>
      <w:r w:rsidRPr="000D13BB">
        <w:t xml:space="preserve"> into the surface of the Earth) is treated similarly, as a flow within the economy (resulting in an increase in accumulations). Any subsequent release of carbon to the environment is treated as a residual flow with a reduction in accumulations in the economy matched by a corresponding increase in carbon in the atmosphere.</w:t>
      </w:r>
    </w:p>
    <w:p w14:paraId="04C8F241" w14:textId="77777777" w:rsidR="00F61A08" w:rsidRPr="000D13BB" w:rsidRDefault="00F61A08">
      <w:pPr>
        <w:pStyle w:val="ListParagraph"/>
        <w:numPr>
          <w:ilvl w:val="0"/>
          <w:numId w:val="24"/>
        </w:numPr>
        <w:spacing w:after="120"/>
        <w:ind w:left="737" w:hanging="737"/>
        <w:jc w:val="both"/>
      </w:pPr>
      <w:r w:rsidRPr="000D13BB">
        <w:t>The presentation of the row entries in the account follows the basic form of the asset account in the SEEA Central Framework; the entries being opening stock, additions, reductions and closing stock. Additions to and reductions in stock have been split between managed and natural expansion and contraction. Additional rows for imports and exports have been included, thus making the table a stock account, as distinct from an asset account.</w:t>
      </w:r>
    </w:p>
    <w:p w14:paraId="2C026821" w14:textId="77777777" w:rsidR="00F61A08" w:rsidRPr="000D13BB" w:rsidRDefault="00F61A08">
      <w:pPr>
        <w:pStyle w:val="ListParagraph"/>
        <w:numPr>
          <w:ilvl w:val="0"/>
          <w:numId w:val="24"/>
        </w:numPr>
        <w:spacing w:after="120"/>
        <w:ind w:left="737" w:hanging="737"/>
        <w:jc w:val="both"/>
      </w:pPr>
      <w:r w:rsidRPr="000D13BB">
        <w:lastRenderedPageBreak/>
        <w:t>There are five types of additions in the carbon stock account:</w:t>
      </w:r>
    </w:p>
    <w:p w14:paraId="73617C86" w14:textId="77777777" w:rsidR="00F61A08" w:rsidRPr="000D13BB" w:rsidRDefault="00F61A08">
      <w:pPr>
        <w:pStyle w:val="ListParagraph"/>
        <w:numPr>
          <w:ilvl w:val="0"/>
          <w:numId w:val="23"/>
        </w:numPr>
        <w:spacing w:after="120"/>
        <w:ind w:left="1276"/>
        <w:jc w:val="both"/>
      </w:pPr>
      <w:r w:rsidRPr="000D13BB">
        <w:t>Unmanaged expansion, which reflects increases in the stock of carbon over an accounting period due to natural growth or the indirect effects of human activities. Effectively, this will be recorded only for biocarbon and may arise from climatic variation, ecological factors such as reduction in grazing pressure, and indirect human impacts such as the CO</w:t>
      </w:r>
      <w:r w:rsidRPr="000D13BB">
        <w:rPr>
          <w:vertAlign w:val="subscript"/>
        </w:rPr>
        <w:t>2</w:t>
      </w:r>
      <w:r w:rsidRPr="000D13BB">
        <w:t xml:space="preserve"> fertilization effect (where higher atmospheric CO</w:t>
      </w:r>
      <w:r w:rsidRPr="000D13BB">
        <w:rPr>
          <w:vertAlign w:val="subscript"/>
        </w:rPr>
        <w:t>2</w:t>
      </w:r>
      <w:r w:rsidRPr="000D13BB">
        <w:t xml:space="preserve"> concentrations cause faster plant growth). </w:t>
      </w:r>
    </w:p>
    <w:p w14:paraId="7DF305E8" w14:textId="77777777" w:rsidR="00F61A08" w:rsidRPr="000D13BB" w:rsidRDefault="00F61A08">
      <w:pPr>
        <w:pStyle w:val="ListParagraph"/>
        <w:numPr>
          <w:ilvl w:val="0"/>
          <w:numId w:val="23"/>
        </w:numPr>
        <w:spacing w:after="120"/>
        <w:ind w:left="1276"/>
        <w:jc w:val="both"/>
      </w:pPr>
      <w:r w:rsidRPr="000D13BB">
        <w:t xml:space="preserve">Managed expansion, which reflects increases in the stock of carbon over an accounting period due to direct human activities. This will be recorded for biocarbon in ecosystems and accumulations in the economy, in inventories, consumer durables, fixed assets and waste stored in controlled landfill sites, </w:t>
      </w:r>
      <w:proofErr w:type="gramStart"/>
      <w:r w:rsidRPr="000D13BB">
        <w:t>and also</w:t>
      </w:r>
      <w:proofErr w:type="gramEnd"/>
      <w:r w:rsidRPr="000D13BB">
        <w:t xml:space="preserve"> includes greenhouse gases injected into the earth. Basically, these reflect all increases in carbon stock due to carbon input flows from other reservoirs which are directly related to human activities. All emissions related to land use, land use change and forestry (LULUCF) are included here (or in managed contractions depending on the carbon stock).</w:t>
      </w:r>
    </w:p>
    <w:p w14:paraId="6F367E67" w14:textId="77777777" w:rsidR="00F61A08" w:rsidRPr="000D13BB" w:rsidRDefault="00F61A08">
      <w:pPr>
        <w:pStyle w:val="ListParagraph"/>
        <w:numPr>
          <w:ilvl w:val="0"/>
          <w:numId w:val="23"/>
        </w:numPr>
        <w:spacing w:after="120"/>
        <w:ind w:left="1276"/>
        <w:jc w:val="both"/>
      </w:pPr>
      <w:r w:rsidRPr="000D13BB">
        <w:t xml:space="preserve">Discoveries of new stock, encompassing the emergence of new resources added to a stock, which commonly arise through exploration and evaluation. This applies exclusively to </w:t>
      </w:r>
      <w:proofErr w:type="spellStart"/>
      <w:r w:rsidRPr="000D13BB">
        <w:t>geocarbon</w:t>
      </w:r>
      <w:proofErr w:type="spellEnd"/>
      <w:r w:rsidRPr="000D13BB">
        <w:t xml:space="preserve">. </w:t>
      </w:r>
    </w:p>
    <w:p w14:paraId="189C2FA1" w14:textId="77777777" w:rsidR="00F61A08" w:rsidRPr="000D13BB" w:rsidRDefault="00F61A08">
      <w:pPr>
        <w:pStyle w:val="ListParagraph"/>
        <w:numPr>
          <w:ilvl w:val="0"/>
          <w:numId w:val="23"/>
        </w:numPr>
        <w:spacing w:after="120"/>
        <w:ind w:left="1276"/>
        <w:jc w:val="both"/>
      </w:pPr>
      <w:r w:rsidRPr="000D13BB">
        <w:t xml:space="preserve">Reclassifications of carbon stocks, which will generally occur in situations where an ecosystem asset is used for a different purpose. For example, increases in carbon in semi-natural ecosystems following the establishment of a national park on an area previously used for agriculture would be offset by an equivalent decrease in agricultural ecosystems. In this case, it is only the </w:t>
      </w:r>
      <w:proofErr w:type="gramStart"/>
      <w:r w:rsidRPr="000D13BB">
        <w:t>particular land</w:t>
      </w:r>
      <w:proofErr w:type="gramEnd"/>
      <w:r w:rsidRPr="000D13BB">
        <w:t xml:space="preserve"> use that has changed, that is, reclassifications may have no impact on the total physical quantity of carbon during the period in which they occur.</w:t>
      </w:r>
    </w:p>
    <w:p w14:paraId="3ADBF0DB" w14:textId="77777777" w:rsidR="00F61A08" w:rsidRPr="000D13BB" w:rsidRDefault="00F61A08">
      <w:pPr>
        <w:pStyle w:val="ListParagraph"/>
        <w:numPr>
          <w:ilvl w:val="0"/>
          <w:numId w:val="23"/>
        </w:numPr>
        <w:spacing w:after="120"/>
        <w:ind w:left="1276"/>
        <w:jc w:val="both"/>
      </w:pPr>
      <w:r w:rsidRPr="000D13BB">
        <w:t xml:space="preserve">Imports are recorded to enable accounting for imports of produced goods (e.g., petroleum products) that contain carbon. </w:t>
      </w:r>
    </w:p>
    <w:p w14:paraId="22B3D255" w14:textId="77777777" w:rsidR="00F61A08" w:rsidRPr="000D13BB" w:rsidRDefault="00F61A08">
      <w:pPr>
        <w:pStyle w:val="ListParagraph"/>
        <w:numPr>
          <w:ilvl w:val="0"/>
          <w:numId w:val="24"/>
        </w:numPr>
        <w:spacing w:after="120"/>
        <w:ind w:left="737" w:hanging="737"/>
        <w:jc w:val="both"/>
      </w:pPr>
      <w:r w:rsidRPr="000D13BB">
        <w:t>There are five types of reductions recorded in the carbon stock account:</w:t>
      </w:r>
    </w:p>
    <w:p w14:paraId="6798D95F" w14:textId="77777777" w:rsidR="00F61A08" w:rsidRPr="000D13BB" w:rsidRDefault="00F61A08">
      <w:pPr>
        <w:pStyle w:val="ListParagraph"/>
        <w:numPr>
          <w:ilvl w:val="0"/>
          <w:numId w:val="19"/>
        </w:numPr>
        <w:spacing w:after="120"/>
        <w:ind w:left="1276"/>
        <w:jc w:val="both"/>
      </w:pPr>
      <w:r w:rsidRPr="000D13BB">
        <w:t xml:space="preserve">Unmanaged contractions, which reflect natural losses of stock </w:t>
      </w:r>
      <w:proofErr w:type="gramStart"/>
      <w:r w:rsidRPr="000D13BB">
        <w:t>during the course of</w:t>
      </w:r>
      <w:proofErr w:type="gramEnd"/>
      <w:r w:rsidRPr="000D13BB">
        <w:t xml:space="preserve"> an accounting period. They may be due to changing distribution of ecosystems (e.g., a contraction of natural ecosystems) or biocarbon losses that might reasonably be expected to occur based on </w:t>
      </w:r>
      <w:proofErr w:type="gramStart"/>
      <w:r w:rsidRPr="000D13BB">
        <w:t>past experience</w:t>
      </w:r>
      <w:proofErr w:type="gramEnd"/>
      <w:r w:rsidRPr="000D13BB">
        <w:t xml:space="preserve">. Unmanaged contraction includes losses from episodic events including drought, some fires and floods, and pest and disease attacks, </w:t>
      </w:r>
      <w:proofErr w:type="gramStart"/>
      <w:r w:rsidRPr="000D13BB">
        <w:t>and also</w:t>
      </w:r>
      <w:proofErr w:type="gramEnd"/>
      <w:r w:rsidRPr="000D13BB">
        <w:t xml:space="preserve"> includes losses due to volcanic eruptions, tidal waves and hurricanes.</w:t>
      </w:r>
    </w:p>
    <w:p w14:paraId="6DD81130" w14:textId="77777777" w:rsidR="00F61A08" w:rsidRPr="000D13BB" w:rsidRDefault="00F61A08">
      <w:pPr>
        <w:pStyle w:val="ListParagraph"/>
        <w:numPr>
          <w:ilvl w:val="0"/>
          <w:numId w:val="19"/>
        </w:numPr>
        <w:spacing w:after="120"/>
        <w:ind w:left="1276"/>
        <w:jc w:val="both"/>
      </w:pPr>
      <w:r w:rsidRPr="000D13BB">
        <w:t xml:space="preserve">Managed contractions, which are reductions in stock due to direct human activities and include the removal or harvest of carbon through a process of production. This includes mining of fossil fuels and felling of timber. Extraction from ecosystems includes both those quantities that continue to flow through the economy as products (including waste products) and is recorded net of those quantities of stock that are immediately returned to the environment after extraction because they are unwanted—for example, felling residues. Managed contraction also includes losses </w:t>
      </w:r>
      <w:proofErr w:type="gramStart"/>
      <w:r w:rsidRPr="000D13BB">
        <w:t>as a result of</w:t>
      </w:r>
      <w:proofErr w:type="gramEnd"/>
      <w:r w:rsidRPr="000D13BB">
        <w:t xml:space="preserve"> a war, riots and other political events; and technological accidents such as major toxic releases. All emissions related to land use, land use change and forestry (LULUCF) are included here (or in managed expansions depending on the carbon stock).</w:t>
      </w:r>
    </w:p>
    <w:p w14:paraId="15184C0F" w14:textId="77777777" w:rsidR="00F61A08" w:rsidRPr="000D13BB" w:rsidRDefault="00F61A08">
      <w:pPr>
        <w:pStyle w:val="ListParagraph"/>
        <w:numPr>
          <w:ilvl w:val="0"/>
          <w:numId w:val="22"/>
        </w:numPr>
        <w:spacing w:after="120"/>
        <w:ind w:left="1276"/>
        <w:jc w:val="both"/>
      </w:pPr>
      <w:r w:rsidRPr="000D13BB">
        <w:lastRenderedPageBreak/>
        <w:t xml:space="preserve">Reclassifications of carbon stocks, which generally occur in situations where another environmental asset is used for a different purpose. For example, decreases in carbon in agricultural ecosystems following the establishment of a national park on an area used for agriculture would be offset by an equivalent increase in semi-natural ecosystems. In this case, it is only the </w:t>
      </w:r>
      <w:proofErr w:type="gramStart"/>
      <w:r w:rsidRPr="000D13BB">
        <w:t>particular land</w:t>
      </w:r>
      <w:proofErr w:type="gramEnd"/>
      <w:r w:rsidRPr="000D13BB">
        <w:t xml:space="preserve"> use that has changed; that is, reclassifications have no impact on the total physical quantity of carbon during the period in which they occur.</w:t>
      </w:r>
    </w:p>
    <w:p w14:paraId="602AAB65" w14:textId="77777777" w:rsidR="00F61A08" w:rsidRPr="000D13BB" w:rsidRDefault="00F61A08">
      <w:pPr>
        <w:pStyle w:val="ListParagraph"/>
        <w:numPr>
          <w:ilvl w:val="0"/>
          <w:numId w:val="21"/>
        </w:numPr>
        <w:spacing w:after="120"/>
        <w:ind w:left="1276"/>
        <w:jc w:val="both"/>
      </w:pPr>
      <w:r w:rsidRPr="000D13BB">
        <w:t xml:space="preserve">Exports are recorded to enable accounting for exports of produced goods (e.g., petroleum products) that contain carbon. </w:t>
      </w:r>
    </w:p>
    <w:p w14:paraId="5FFE3AA0" w14:textId="77777777" w:rsidR="00F61A08" w:rsidRPr="000D13BB" w:rsidRDefault="00F61A08">
      <w:pPr>
        <w:pStyle w:val="ListParagraph"/>
        <w:numPr>
          <w:ilvl w:val="0"/>
          <w:numId w:val="20"/>
        </w:numPr>
        <w:spacing w:after="120"/>
        <w:ind w:left="1276"/>
        <w:jc w:val="both"/>
      </w:pPr>
      <w:r w:rsidRPr="000D13BB">
        <w:t>Catastrophic losses, which are not shown as a single entry but are allocated between managed contraction and unmanaged contraction. Catastrophic losses in managed contraction would include fires deliberately lit to reduce the risk of uncontrolled fires. For the purposes of accounting, reductions due to human accidents, such as rupture of oil wells, would also be included under managed contraction. Catastrophic losses could, however, be separately identified.</w:t>
      </w:r>
    </w:p>
    <w:p w14:paraId="1930486F" w14:textId="77777777" w:rsidR="00F61A08" w:rsidRDefault="00F61A08" w:rsidP="00866387">
      <w:pPr>
        <w:rPr>
          <w:rFonts w:cstheme="minorHAnsi"/>
          <w:sz w:val="22"/>
          <w:szCs w:val="22"/>
        </w:rPr>
      </w:pPr>
    </w:p>
    <w:p w14:paraId="776A4623" w14:textId="77777777" w:rsidR="00F61A08" w:rsidRDefault="00F61A08" w:rsidP="00866387">
      <w:pPr>
        <w:rPr>
          <w:rFonts w:cstheme="minorHAnsi"/>
          <w:sz w:val="22"/>
          <w:szCs w:val="22"/>
        </w:rPr>
      </w:pPr>
    </w:p>
    <w:p w14:paraId="15DEDF3F" w14:textId="77777777" w:rsidR="00F61A08" w:rsidRPr="0034539B" w:rsidRDefault="00F61A08" w:rsidP="00866387">
      <w:pPr>
        <w:rPr>
          <w:rFonts w:cstheme="minorHAnsi"/>
          <w:sz w:val="22"/>
          <w:szCs w:val="22"/>
        </w:rPr>
      </w:pPr>
    </w:p>
    <w:p w14:paraId="54FB7916" w14:textId="77777777" w:rsidR="00555D02" w:rsidRDefault="00555D02">
      <w:pPr>
        <w:rPr>
          <w:rFonts w:eastAsiaTheme="majorEastAsia" w:cstheme="minorHAnsi"/>
          <w:b/>
          <w:bCs/>
          <w:color w:val="125771" w:themeColor="accent1" w:themeShade="BF"/>
          <w:sz w:val="28"/>
          <w:szCs w:val="28"/>
        </w:rPr>
      </w:pPr>
      <w:r>
        <w:rPr>
          <w:rFonts w:cstheme="minorHAnsi"/>
          <w:bCs/>
          <w:szCs w:val="28"/>
        </w:rPr>
        <w:br w:type="page"/>
      </w:r>
    </w:p>
    <w:p w14:paraId="26D3BD94" w14:textId="77C1C92E" w:rsidR="006153EC" w:rsidRDefault="000A3906" w:rsidP="008628BD">
      <w:pPr>
        <w:pStyle w:val="Heading1"/>
        <w:numPr>
          <w:ilvl w:val="0"/>
          <w:numId w:val="0"/>
        </w:numPr>
        <w:ind w:left="17"/>
        <w:rPr>
          <w:rFonts w:cstheme="minorHAnsi"/>
          <w:bCs/>
          <w:szCs w:val="28"/>
        </w:rPr>
      </w:pPr>
      <w:bookmarkStart w:id="47" w:name="_Toc239173059"/>
      <w:r w:rsidRPr="00310B55">
        <w:rPr>
          <w:rFonts w:cstheme="minorHAnsi"/>
          <w:bCs/>
          <w:szCs w:val="28"/>
        </w:rPr>
        <w:lastRenderedPageBreak/>
        <w:t>References</w:t>
      </w:r>
      <w:r w:rsidR="008628BD">
        <w:rPr>
          <w:rFonts w:cstheme="minorHAnsi"/>
          <w:bCs/>
          <w:szCs w:val="28"/>
        </w:rPr>
        <w:t xml:space="preserve"> (to be completed)</w:t>
      </w:r>
      <w:bookmarkEnd w:id="47"/>
    </w:p>
    <w:p w14:paraId="025CE05E" w14:textId="77777777" w:rsidR="00555D02" w:rsidRDefault="00555D02" w:rsidP="00555D02"/>
    <w:p w14:paraId="7B3542F5" w14:textId="7CC0BE62" w:rsidR="00555D02" w:rsidRDefault="007C498B" w:rsidP="00555D02">
      <w:r>
        <w:t xml:space="preserve">Statistics Netherlands, 2017, </w:t>
      </w:r>
      <w:r w:rsidR="00B95B66">
        <w:t xml:space="preserve">The SEEA EEA carbon account for the Netherlands </w:t>
      </w:r>
      <w:hyperlink r:id="rId24" w:history="1">
        <w:r w:rsidR="00B95B66" w:rsidRPr="0074637B">
          <w:rPr>
            <w:rStyle w:val="Hyperlink"/>
          </w:rPr>
          <w:t>https://seea.un.org/content/seea-eea-carbon-account-netherlands</w:t>
        </w:r>
      </w:hyperlink>
    </w:p>
    <w:p w14:paraId="176B3E91" w14:textId="77777777" w:rsidR="00B95B66" w:rsidRDefault="00B95B66" w:rsidP="00555D02"/>
    <w:p w14:paraId="1951244A" w14:textId="77777777" w:rsidR="00B95B66" w:rsidRDefault="00B95B66" w:rsidP="00555D02"/>
    <w:p w14:paraId="2A6309CB" w14:textId="77777777" w:rsidR="00555D02" w:rsidRPr="00555D02" w:rsidRDefault="00555D02" w:rsidP="00555D02"/>
    <w:sectPr w:rsidR="00555D02" w:rsidRPr="00555D02" w:rsidSect="007C1ED8">
      <w:pgSz w:w="12240" w:h="15840"/>
      <w:pgMar w:top="1440" w:right="1080" w:bottom="162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3D0D3" w14:textId="77777777" w:rsidR="006B4003" w:rsidRPr="0034539B" w:rsidRDefault="006B4003">
      <w:r w:rsidRPr="0034539B">
        <w:separator/>
      </w:r>
    </w:p>
  </w:endnote>
  <w:endnote w:type="continuationSeparator" w:id="0">
    <w:p w14:paraId="41DE30A8" w14:textId="77777777" w:rsidR="006B4003" w:rsidRPr="0034539B" w:rsidRDefault="006B4003">
      <w:r w:rsidRPr="0034539B">
        <w:continuationSeparator/>
      </w:r>
    </w:p>
  </w:endnote>
  <w:endnote w:type="continuationNotice" w:id="1">
    <w:p w14:paraId="2B8174CF" w14:textId="77777777" w:rsidR="006B4003" w:rsidRPr="0034539B" w:rsidRDefault="006B40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Body)">
    <w:altName w:val="Calibri"/>
    <w:charset w:val="00"/>
    <w:family w:val="roman"/>
    <w:pitch w:val="default"/>
  </w:font>
  <w:font w:name="Franklin Gothic Book">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Franklin Gothic Medium">
    <w:panose1 w:val="020B0603020102020204"/>
    <w:charset w:val="00"/>
    <w:family w:val="swiss"/>
    <w:pitch w:val="variable"/>
    <w:sig w:usb0="00000287" w:usb1="00000000" w:usb2="00000000" w:usb3="00000000" w:csb0="0000009F" w:csb1="00000000"/>
  </w:font>
  <w:font w:name="Palatino">
    <w:altName w:val="Book Antiqua"/>
    <w:charset w:val="4D"/>
    <w:family w:val="auto"/>
    <w:pitch w:val="variable"/>
    <w:sig w:usb0="A00002FF" w:usb1="7800205A" w:usb2="14600000" w:usb3="00000000" w:csb0="00000193"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 w:name="Open Sans Light">
    <w:charset w:val="00"/>
    <w:family w:val="swiss"/>
    <w:pitch w:val="variable"/>
    <w:sig w:usb0="E00002EF" w:usb1="4000205B" w:usb2="00000028" w:usb3="00000000" w:csb0="0000019F" w:csb1="00000000"/>
  </w:font>
  <w:font w:name="Helvetica">
    <w:panose1 w:val="020B0604020202020204"/>
    <w:charset w:val="00"/>
    <w:family w:val="auto"/>
    <w:pitch w:val="variable"/>
    <w:sig w:usb0="E00002FF" w:usb1="5000785B" w:usb2="00000000" w:usb3="00000000" w:csb0="0000019F" w:csb1="00000000"/>
  </w:font>
  <w:font w:name="ZWAdobeF">
    <w:panose1 w:val="00000000000000000000"/>
    <w:charset w:val="00"/>
    <w:family w:val="auto"/>
    <w:pitch w:val="variable"/>
    <w:sig w:usb0="20002A87" w:usb1="00000000" w:usb2="00000000"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10433" w14:textId="77777777" w:rsidR="00EF54B4" w:rsidRPr="0034539B" w:rsidRDefault="00EF54B4" w:rsidP="00C73DE6">
    <w:pPr>
      <w:pStyle w:val="Footer"/>
      <w:framePr w:wrap="none" w:vAnchor="text" w:hAnchor="margin" w:xAlign="center" w:y="1"/>
      <w:rPr>
        <w:rStyle w:val="PageNumber"/>
      </w:rPr>
    </w:pPr>
    <w:r w:rsidRPr="0034539B">
      <w:rPr>
        <w:rStyle w:val="PageNumber"/>
      </w:rPr>
      <w:fldChar w:fldCharType="begin"/>
    </w:r>
    <w:r w:rsidRPr="0034539B">
      <w:rPr>
        <w:rStyle w:val="PageNumber"/>
      </w:rPr>
      <w:instrText xml:space="preserve">PAGE  </w:instrText>
    </w:r>
    <w:r w:rsidRPr="0034539B">
      <w:rPr>
        <w:rStyle w:val="PageNumber"/>
      </w:rPr>
      <w:fldChar w:fldCharType="separate"/>
    </w:r>
    <w:r w:rsidRPr="0034539B">
      <w:rPr>
        <w:rStyle w:val="PageNumber"/>
      </w:rPr>
      <w:t>2</w:t>
    </w:r>
    <w:r w:rsidRPr="0034539B">
      <w:rPr>
        <w:rStyle w:val="PageNumber"/>
      </w:rPr>
      <w:fldChar w:fldCharType="end"/>
    </w:r>
  </w:p>
  <w:p w14:paraId="6B0AE9E6" w14:textId="77777777" w:rsidR="00EF54B4" w:rsidRPr="0034539B" w:rsidRDefault="00EF54B4" w:rsidP="0011077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9811B" w14:textId="77777777" w:rsidR="00EF54B4" w:rsidRPr="0034539B" w:rsidRDefault="00EF54B4" w:rsidP="00C73DE6">
    <w:pPr>
      <w:pStyle w:val="Footer"/>
      <w:framePr w:wrap="none" w:vAnchor="text" w:hAnchor="margin" w:xAlign="center" w:y="1" w:anchorLock="1"/>
      <w:jc w:val="right"/>
      <w:rPr>
        <w:rStyle w:val="PageNumber"/>
        <w:rFonts w:asciiTheme="minorHAnsi" w:hAnsiTheme="minorHAnsi" w:cstheme="minorHAnsi"/>
        <w:sz w:val="20"/>
        <w:szCs w:val="20"/>
      </w:rPr>
    </w:pPr>
    <w:r w:rsidRPr="0034539B">
      <w:rPr>
        <w:rStyle w:val="PageNumber"/>
        <w:rFonts w:asciiTheme="minorHAnsi" w:hAnsiTheme="minorHAnsi" w:cstheme="minorHAnsi"/>
        <w:sz w:val="20"/>
        <w:szCs w:val="20"/>
      </w:rPr>
      <w:t xml:space="preserve">Page </w:t>
    </w:r>
    <w:r w:rsidRPr="0034539B">
      <w:rPr>
        <w:rStyle w:val="PageNumber"/>
        <w:rFonts w:asciiTheme="minorHAnsi" w:hAnsiTheme="minorHAnsi" w:cstheme="minorHAnsi"/>
        <w:sz w:val="20"/>
        <w:szCs w:val="20"/>
      </w:rPr>
      <w:fldChar w:fldCharType="begin"/>
    </w:r>
    <w:r w:rsidRPr="0034539B">
      <w:rPr>
        <w:rStyle w:val="PageNumber"/>
        <w:rFonts w:asciiTheme="minorHAnsi" w:hAnsiTheme="minorHAnsi" w:cstheme="minorHAnsi"/>
        <w:sz w:val="20"/>
        <w:szCs w:val="20"/>
      </w:rPr>
      <w:instrText xml:space="preserve">PAGE  </w:instrText>
    </w:r>
    <w:r w:rsidRPr="0034539B">
      <w:rPr>
        <w:rStyle w:val="PageNumber"/>
        <w:rFonts w:asciiTheme="minorHAnsi" w:hAnsiTheme="minorHAnsi" w:cstheme="minorHAnsi"/>
        <w:sz w:val="20"/>
        <w:szCs w:val="20"/>
      </w:rPr>
      <w:fldChar w:fldCharType="separate"/>
    </w:r>
    <w:r w:rsidRPr="0034539B">
      <w:rPr>
        <w:rStyle w:val="PageNumber"/>
        <w:rFonts w:asciiTheme="minorHAnsi" w:hAnsiTheme="minorHAnsi" w:cstheme="minorHAnsi"/>
        <w:sz w:val="20"/>
        <w:szCs w:val="20"/>
      </w:rPr>
      <w:t>6</w:t>
    </w:r>
    <w:r w:rsidRPr="0034539B">
      <w:rPr>
        <w:rStyle w:val="PageNumber"/>
        <w:rFonts w:asciiTheme="minorHAnsi" w:hAnsiTheme="minorHAnsi" w:cstheme="minorHAnsi"/>
        <w:sz w:val="20"/>
        <w:szCs w:val="20"/>
      </w:rPr>
      <w:fldChar w:fldCharType="end"/>
    </w:r>
  </w:p>
  <w:p w14:paraId="318AE065" w14:textId="77777777" w:rsidR="00EF54B4" w:rsidRPr="0034539B" w:rsidRDefault="00EF54B4" w:rsidP="00323EA0">
    <w:pPr>
      <w:pStyle w:val="Footer"/>
      <w:ind w:right="15"/>
      <w:rPr>
        <w:rFonts w:asciiTheme="minorHAnsi" w:hAnsiTheme="minorHAnsi" w:cstheme="minorHAnsi"/>
      </w:rPr>
    </w:pPr>
    <w:r w:rsidRPr="0034539B">
      <w:rPr>
        <w:rFonts w:asciiTheme="minorHAnsi" w:hAnsiTheme="minorHAnsi" w:cstheme="minorHAnsi"/>
        <w:noProof/>
      </w:rPr>
      <mc:AlternateContent>
        <mc:Choice Requires="wps">
          <w:drawing>
            <wp:anchor distT="4294967295" distB="4294967295" distL="114300" distR="114300" simplePos="0" relativeHeight="251658244" behindDoc="0" locked="0" layoutInCell="1" allowOverlap="1" wp14:anchorId="288825CE" wp14:editId="0A1F1958">
              <wp:simplePos x="0" y="0"/>
              <wp:positionH relativeFrom="margin">
                <wp:posOffset>-1988</wp:posOffset>
              </wp:positionH>
              <wp:positionV relativeFrom="paragraph">
                <wp:posOffset>-390415</wp:posOffset>
              </wp:positionV>
              <wp:extent cx="6376946" cy="0"/>
              <wp:effectExtent l="0" t="0" r="6985" b="12700"/>
              <wp:wrapNone/>
              <wp:docPr id="1271453526" name="Straight Connector 12714535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76946" cy="0"/>
                      </a:xfrm>
                      <a:prstGeom prst="line">
                        <a:avLst/>
                      </a:prstGeom>
                      <a:noFill/>
                      <a:ln w="254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343AB357" id="Straight Connector 1271453526" o:spid="_x0000_s1026" style="position:absolute;z-index:25165824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15pt,-30.75pt" to="501.9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" strokecolor="windowText" strokeweight=".2pt">
              <o:lock v:ext="edit" shapetype="f"/>
              <w10:wrap anchorx="margin"/>
            </v:line>
          </w:pict>
        </mc:Fallback>
      </mc:AlternateContent>
    </w:r>
    <w:r w:rsidRPr="0034539B">
      <w:rPr>
        <w:rFonts w:asciiTheme="minorHAnsi" w:hAnsiTheme="minorHAnsi" w:cstheme="minorHAnsi"/>
        <w:noProof/>
      </w:rPr>
      <w:drawing>
        <wp:anchor distT="0" distB="0" distL="114300" distR="114300" simplePos="0" relativeHeight="251658247" behindDoc="1" locked="0" layoutInCell="1" allowOverlap="1" wp14:anchorId="661BFFB6" wp14:editId="5B2DD28A">
          <wp:simplePos x="0" y="0"/>
          <wp:positionH relativeFrom="column">
            <wp:posOffset>-113665</wp:posOffset>
          </wp:positionH>
          <wp:positionV relativeFrom="paragraph">
            <wp:posOffset>-391795</wp:posOffset>
          </wp:positionV>
          <wp:extent cx="1257300" cy="592455"/>
          <wp:effectExtent l="0" t="0" r="0" b="4445"/>
          <wp:wrapNone/>
          <wp:docPr id="1465709308" name="Picture 1465709308" descr="Description: MAC HD:Users:Owner:Desktop:Foot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Description: MAC HD:Users:Owner:Desktop:Footerlogo.png"/>
                  <pic:cNvPicPr>
                    <a:picLocks noChangeAspect="1" noChangeArrowheads="1"/>
                  </pic:cNvPicPr>
                </pic:nvPicPr>
                <pic:blipFill>
                  <a:blip r:embed="rId1">
                    <a:extLst>
                      <a:ext uri="{28A0092B-C50C-407E-A947-70E740481C1C}">
                        <a14:useLocalDpi xmlns:a14="http://schemas.microsoft.com/office/drawing/2010/main" val="0"/>
                      </a:ext>
                    </a:extLst>
                  </a:blip>
                  <a:srcRect l="25851" t="30582" r="31644" b="43442"/>
                  <a:stretch>
                    <a:fillRect/>
                  </a:stretch>
                </pic:blipFill>
                <pic:spPr bwMode="auto">
                  <a:xfrm>
                    <a:off x="0" y="0"/>
                    <a:ext cx="1257300" cy="59245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74696" w14:textId="77777777" w:rsidR="00EF54B4" w:rsidRPr="0034539B" w:rsidRDefault="00EF54B4" w:rsidP="0011077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66D6D" w14:textId="2766167A" w:rsidR="00110772" w:rsidRPr="0034539B" w:rsidRDefault="00904A11" w:rsidP="00C73DE6">
    <w:pPr>
      <w:pStyle w:val="Footer"/>
      <w:framePr w:wrap="none" w:vAnchor="text" w:hAnchor="margin" w:xAlign="center" w:y="1"/>
      <w:rPr>
        <w:rStyle w:val="PageNumber"/>
      </w:rPr>
    </w:pPr>
    <w:r w:rsidRPr="0034539B">
      <w:rPr>
        <w:rStyle w:val="PageNumber"/>
      </w:rPr>
      <w:fldChar w:fldCharType="begin"/>
    </w:r>
    <w:r w:rsidRPr="0034539B">
      <w:rPr>
        <w:rStyle w:val="PageNumber"/>
      </w:rPr>
      <w:instrText xml:space="preserve">PAGE  </w:instrText>
    </w:r>
    <w:r w:rsidRPr="0034539B">
      <w:rPr>
        <w:rStyle w:val="PageNumber"/>
      </w:rPr>
      <w:fldChar w:fldCharType="separate"/>
    </w:r>
    <w:r w:rsidR="004F1720" w:rsidRPr="0034539B">
      <w:rPr>
        <w:rStyle w:val="PageNumber"/>
      </w:rPr>
      <w:t>2</w:t>
    </w:r>
    <w:r w:rsidRPr="0034539B">
      <w:rPr>
        <w:rStyle w:val="PageNumber"/>
      </w:rPr>
      <w:fldChar w:fldCharType="end"/>
    </w:r>
  </w:p>
  <w:p w14:paraId="5770DD91" w14:textId="77777777" w:rsidR="00110772" w:rsidRPr="0034539B" w:rsidRDefault="00110772" w:rsidP="0011077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8FEF8" w14:textId="0339FD4B" w:rsidR="00110772" w:rsidRPr="0034539B" w:rsidRDefault="00904A11" w:rsidP="00C73DE6">
    <w:pPr>
      <w:pStyle w:val="Footer"/>
      <w:framePr w:wrap="none" w:vAnchor="text" w:hAnchor="margin" w:xAlign="center" w:y="1" w:anchorLock="1"/>
      <w:jc w:val="right"/>
      <w:rPr>
        <w:rStyle w:val="PageNumber"/>
        <w:rFonts w:asciiTheme="minorHAnsi" w:hAnsiTheme="minorHAnsi" w:cstheme="minorHAnsi"/>
        <w:sz w:val="20"/>
        <w:szCs w:val="20"/>
      </w:rPr>
    </w:pPr>
    <w:r w:rsidRPr="0034539B">
      <w:rPr>
        <w:rStyle w:val="PageNumber"/>
        <w:rFonts w:asciiTheme="minorHAnsi" w:hAnsiTheme="minorHAnsi" w:cstheme="minorHAnsi"/>
        <w:sz w:val="20"/>
        <w:szCs w:val="20"/>
      </w:rPr>
      <w:t xml:space="preserve">Page </w:t>
    </w:r>
    <w:r w:rsidRPr="0034539B">
      <w:rPr>
        <w:rStyle w:val="PageNumber"/>
        <w:rFonts w:asciiTheme="minorHAnsi" w:hAnsiTheme="minorHAnsi" w:cstheme="minorHAnsi"/>
        <w:sz w:val="20"/>
        <w:szCs w:val="20"/>
      </w:rPr>
      <w:fldChar w:fldCharType="begin"/>
    </w:r>
    <w:r w:rsidRPr="0034539B">
      <w:rPr>
        <w:rStyle w:val="PageNumber"/>
        <w:rFonts w:asciiTheme="minorHAnsi" w:hAnsiTheme="minorHAnsi" w:cstheme="minorHAnsi"/>
        <w:sz w:val="20"/>
        <w:szCs w:val="20"/>
      </w:rPr>
      <w:instrText xml:space="preserve">PAGE  </w:instrText>
    </w:r>
    <w:r w:rsidRPr="0034539B">
      <w:rPr>
        <w:rStyle w:val="PageNumber"/>
        <w:rFonts w:asciiTheme="minorHAnsi" w:hAnsiTheme="minorHAnsi" w:cstheme="minorHAnsi"/>
        <w:sz w:val="20"/>
        <w:szCs w:val="20"/>
      </w:rPr>
      <w:fldChar w:fldCharType="separate"/>
    </w:r>
    <w:r w:rsidR="00AC1912" w:rsidRPr="0034539B">
      <w:rPr>
        <w:rStyle w:val="PageNumber"/>
        <w:rFonts w:asciiTheme="minorHAnsi" w:hAnsiTheme="minorHAnsi" w:cstheme="minorHAnsi"/>
        <w:sz w:val="20"/>
        <w:szCs w:val="20"/>
      </w:rPr>
      <w:t>6</w:t>
    </w:r>
    <w:r w:rsidRPr="0034539B">
      <w:rPr>
        <w:rStyle w:val="PageNumber"/>
        <w:rFonts w:asciiTheme="minorHAnsi" w:hAnsiTheme="minorHAnsi" w:cstheme="minorHAnsi"/>
        <w:sz w:val="20"/>
        <w:szCs w:val="20"/>
      </w:rPr>
      <w:fldChar w:fldCharType="end"/>
    </w:r>
  </w:p>
  <w:p w14:paraId="773A4057" w14:textId="73A14687" w:rsidR="00110772" w:rsidRPr="0034539B" w:rsidRDefault="00323EA0" w:rsidP="00323EA0">
    <w:pPr>
      <w:pStyle w:val="Footer"/>
      <w:ind w:right="15"/>
      <w:rPr>
        <w:rFonts w:asciiTheme="minorHAnsi" w:hAnsiTheme="minorHAnsi" w:cstheme="minorHAnsi"/>
      </w:rPr>
    </w:pPr>
    <w:r w:rsidRPr="0034539B">
      <w:rPr>
        <w:rFonts w:asciiTheme="minorHAnsi" w:hAnsiTheme="minorHAnsi" w:cstheme="minorHAnsi"/>
        <w:noProof/>
      </w:rPr>
      <mc:AlternateContent>
        <mc:Choice Requires="wps">
          <w:drawing>
            <wp:anchor distT="4294967295" distB="4294967295" distL="114300" distR="114300" simplePos="0" relativeHeight="251658240" behindDoc="0" locked="0" layoutInCell="1" allowOverlap="1" wp14:anchorId="64E2403C" wp14:editId="1552B0E3">
              <wp:simplePos x="0" y="0"/>
              <wp:positionH relativeFrom="margin">
                <wp:posOffset>-1988</wp:posOffset>
              </wp:positionH>
              <wp:positionV relativeFrom="paragraph">
                <wp:posOffset>-390415</wp:posOffset>
              </wp:positionV>
              <wp:extent cx="6376946" cy="0"/>
              <wp:effectExtent l="0" t="0" r="6985" b="1270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76946" cy="0"/>
                      </a:xfrm>
                      <a:prstGeom prst="line">
                        <a:avLst/>
                      </a:prstGeom>
                      <a:noFill/>
                      <a:ln w="254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6167BF9C" id="Straight Connector 21" o:spid="_x0000_s1026" style="position:absolute;z-index:2516582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15pt,-30.75pt" to="501.95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" strokecolor="windowText" strokeweight=".2pt">
              <o:lock v:ext="edit" shapetype="f"/>
              <w10:wrap anchorx="margin"/>
            </v:line>
          </w:pict>
        </mc:Fallback>
      </mc:AlternateContent>
    </w:r>
    <w:r w:rsidR="0063590D" w:rsidRPr="0034539B">
      <w:rPr>
        <w:rFonts w:asciiTheme="minorHAnsi" w:hAnsiTheme="minorHAnsi" w:cstheme="minorHAnsi"/>
        <w:noProof/>
      </w:rPr>
      <w:drawing>
        <wp:anchor distT="0" distB="0" distL="114300" distR="114300" simplePos="0" relativeHeight="251658241" behindDoc="1" locked="0" layoutInCell="1" allowOverlap="1" wp14:anchorId="0138735F" wp14:editId="4083A4B6">
          <wp:simplePos x="0" y="0"/>
          <wp:positionH relativeFrom="column">
            <wp:posOffset>-113665</wp:posOffset>
          </wp:positionH>
          <wp:positionV relativeFrom="paragraph">
            <wp:posOffset>-391795</wp:posOffset>
          </wp:positionV>
          <wp:extent cx="1257300" cy="592455"/>
          <wp:effectExtent l="0" t="0" r="0" b="4445"/>
          <wp:wrapNone/>
          <wp:docPr id="958631886" name="Picture 958631886" descr="Description: MAC HD:Users:Owner:Desktop:Foot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Description: MAC HD:Users:Owner:Desktop:Footerlogo.png"/>
                  <pic:cNvPicPr>
                    <a:picLocks noChangeAspect="1" noChangeArrowheads="1"/>
                  </pic:cNvPicPr>
                </pic:nvPicPr>
                <pic:blipFill>
                  <a:blip r:embed="rId1">
                    <a:extLst>
                      <a:ext uri="{28A0092B-C50C-407E-A947-70E740481C1C}">
                        <a14:useLocalDpi xmlns:a14="http://schemas.microsoft.com/office/drawing/2010/main" val="0"/>
                      </a:ext>
                    </a:extLst>
                  </a:blip>
                  <a:srcRect l="25851" t="30582" r="31644" b="43442"/>
                  <a:stretch>
                    <a:fillRect/>
                  </a:stretch>
                </pic:blipFill>
                <pic:spPr bwMode="auto">
                  <a:xfrm>
                    <a:off x="0" y="0"/>
                    <a:ext cx="1257300" cy="59245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30B8E" w14:textId="5AF00284" w:rsidR="00110772" w:rsidRPr="0034539B" w:rsidRDefault="00110772" w:rsidP="0011077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9B81A" w14:textId="77777777" w:rsidR="006B4003" w:rsidRPr="0034539B" w:rsidRDefault="006B4003">
      <w:r w:rsidRPr="0034539B">
        <w:separator/>
      </w:r>
    </w:p>
  </w:footnote>
  <w:footnote w:type="continuationSeparator" w:id="0">
    <w:p w14:paraId="47BE294C" w14:textId="77777777" w:rsidR="006B4003" w:rsidRPr="0034539B" w:rsidRDefault="006B4003">
      <w:r w:rsidRPr="0034539B">
        <w:continuationSeparator/>
      </w:r>
    </w:p>
  </w:footnote>
  <w:footnote w:type="continuationNotice" w:id="1">
    <w:p w14:paraId="59D59B3C" w14:textId="77777777" w:rsidR="006B4003" w:rsidRPr="0034539B" w:rsidRDefault="006B4003"/>
  </w:footnote>
  <w:footnote w:id="2">
    <w:p w14:paraId="5AB334BA" w14:textId="77777777" w:rsidR="007E5B19" w:rsidRPr="00525E7C" w:rsidRDefault="007E5B19" w:rsidP="007E5B19">
      <w:pPr>
        <w:pStyle w:val="ESTAT-Footnote"/>
        <w:rPr>
          <w:rStyle w:val="FootnoteReference"/>
        </w:rPr>
      </w:pPr>
      <w:r w:rsidRPr="00525E7C">
        <w:rPr>
          <w:rStyle w:val="FootnoteReference"/>
        </w:rPr>
        <w:footnoteRef/>
      </w:r>
      <w:r w:rsidRPr="00525E7C">
        <w:rPr>
          <w:rStyle w:val="FootnoteReference"/>
        </w:rPr>
        <w:t xml:space="preserve"> </w:t>
      </w:r>
      <w:r w:rsidRPr="00525E7C">
        <w:t xml:space="preserve">Changes in carbon due to LUC can also be positive, as in the case where mature trees are planted. This, overall, does of course not involve a net sequestration at national level, but a reduction in stored carbon in one ecosystem type (i.e. nurseries) and an addition in another (e.g., urban green). </w:t>
      </w:r>
    </w:p>
  </w:footnote>
  <w:footnote w:id="3">
    <w:p w14:paraId="27FA9C83" w14:textId="77777777" w:rsidR="007E5B19" w:rsidRPr="00525E7C" w:rsidRDefault="007E5B19" w:rsidP="007E5B19">
      <w:pPr>
        <w:pStyle w:val="ESTAT-Footnote"/>
        <w:rPr>
          <w:rStyle w:val="FootnoteReference"/>
        </w:rPr>
      </w:pPr>
      <w:r w:rsidRPr="00525E7C">
        <w:rPr>
          <w:rStyle w:val="FootnoteReference"/>
        </w:rPr>
        <w:footnoteRef/>
      </w:r>
      <w:r w:rsidRPr="00525E7C">
        <w:rPr>
          <w:rStyle w:val="FootnoteReference"/>
        </w:rPr>
        <w:t xml:space="preserve"> </w:t>
      </w:r>
      <w:r w:rsidRPr="00525E7C">
        <w:rPr>
          <w:rFonts w:eastAsiaTheme="minorHAnsi"/>
        </w:rPr>
        <w:t>Disturbance while LUCs not take place.</w:t>
      </w:r>
    </w:p>
  </w:footnote>
  <w:footnote w:id="4">
    <w:p w14:paraId="17497356" w14:textId="77777777" w:rsidR="00F61A08" w:rsidRPr="00B81A1A" w:rsidRDefault="00F61A08" w:rsidP="00F61A08">
      <w:pPr>
        <w:pStyle w:val="FootnoteText"/>
        <w:rPr>
          <w:lang w:val="en-AU"/>
        </w:rPr>
      </w:pPr>
      <w:r>
        <w:rPr>
          <w:rStyle w:val="FootnoteReference"/>
        </w:rPr>
        <w:footnoteRef/>
      </w:r>
      <w:r>
        <w:t xml:space="preserve"> </w:t>
      </w:r>
      <w:r>
        <w:rPr>
          <w:color w:val="000000"/>
        </w:rPr>
        <w:t xml:space="preserve">UNFCCC, Conference of the Parties, </w:t>
      </w:r>
      <w:r w:rsidRPr="0028668D">
        <w:rPr>
          <w:color w:val="000000"/>
        </w:rPr>
        <w:t>Twenty-fifth session, Madrid, 2–13 December 2019</w:t>
      </w:r>
      <w:r>
        <w:rPr>
          <w:color w:val="000000"/>
        </w:rPr>
        <w:t xml:space="preserve">, </w:t>
      </w:r>
      <w:r w:rsidRPr="0028668D">
        <w:rPr>
          <w:color w:val="000000"/>
        </w:rPr>
        <w:t>FCCC/CP/2019/L.10</w:t>
      </w:r>
      <w:r>
        <w:rPr>
          <w:color w:val="000000"/>
        </w:rPr>
        <w:t xml:space="preserve">. </w:t>
      </w:r>
      <w:hyperlink r:id="rId1" w:history="1">
        <w:r>
          <w:rPr>
            <w:rStyle w:val="Hyperlink"/>
            <w:rFonts w:eastAsia="Calibri"/>
          </w:rPr>
          <w:t>https://unfccc.int/sites/default/files/resource/cp2019__L10E_adv.pdf</w:t>
        </w:r>
      </w:hyperlink>
    </w:p>
  </w:footnote>
  <w:footnote w:id="5">
    <w:p w14:paraId="371BEC69" w14:textId="77777777" w:rsidR="00F61A08" w:rsidRPr="00C0320C" w:rsidRDefault="00F61A08" w:rsidP="00F61A08">
      <w:pPr>
        <w:pStyle w:val="FootnoteText"/>
        <w:rPr>
          <w:rFonts w:cs="Calibri"/>
          <w:lang w:val="en-AU"/>
        </w:rPr>
      </w:pPr>
      <w:r w:rsidRPr="00C0320C">
        <w:rPr>
          <w:rStyle w:val="FootnoteReference"/>
          <w:rFonts w:cs="Calibri"/>
        </w:rPr>
        <w:footnoteRef/>
      </w:r>
      <w:r w:rsidRPr="00C0320C">
        <w:rPr>
          <w:rFonts w:cs="Calibri"/>
        </w:rPr>
        <w:t xml:space="preserve"> Geocarbon is further disaggregated into oil, gas, coal resources, rocks (primarily limestone and marls), and minerals, </w:t>
      </w:r>
      <w:r>
        <w:rPr>
          <w:rFonts w:cs="Calibri"/>
        </w:rPr>
        <w:t xml:space="preserve">e.g., </w:t>
      </w:r>
      <w:r w:rsidRPr="00C0320C">
        <w:rPr>
          <w:rFonts w:cs="Calibri"/>
        </w:rPr>
        <w:t>carbonate rocks used in cement production, methane clathrates and inorganic carbon in marine sediments</w:t>
      </w:r>
    </w:p>
  </w:footnote>
  <w:footnote w:id="6">
    <w:p w14:paraId="45493B48" w14:textId="77777777" w:rsidR="00F61A08" w:rsidRPr="00C0320C" w:rsidRDefault="00F61A08" w:rsidP="00F61A08">
      <w:pPr>
        <w:pStyle w:val="FootnoteText"/>
        <w:rPr>
          <w:rFonts w:cs="Calibri"/>
        </w:rPr>
      </w:pPr>
      <w:r w:rsidRPr="00C0320C">
        <w:rPr>
          <w:rStyle w:val="FootnoteReference"/>
          <w:rFonts w:cs="Calibri"/>
        </w:rPr>
        <w:footnoteRef/>
      </w:r>
      <w:r w:rsidRPr="00C0320C">
        <w:rPr>
          <w:rFonts w:cs="Calibri"/>
        </w:rPr>
        <w:t xml:space="preserve"> Soil is the layer of fine material covering the Earth’s land surface influenced by and influencing plants and soil organisms.</w:t>
      </w:r>
    </w:p>
  </w:footnote>
  <w:footnote w:id="7">
    <w:p w14:paraId="25740968" w14:textId="77777777" w:rsidR="00F61A08" w:rsidRPr="00C0320C" w:rsidRDefault="00F61A08" w:rsidP="00F61A08">
      <w:pPr>
        <w:pStyle w:val="FootnoteText"/>
        <w:rPr>
          <w:rFonts w:cs="Calibri"/>
        </w:rPr>
      </w:pPr>
      <w:r w:rsidRPr="00C0320C">
        <w:rPr>
          <w:rStyle w:val="FootnoteReference"/>
          <w:rFonts w:cs="Calibri"/>
        </w:rPr>
        <w:footnoteRef/>
      </w:r>
      <w:r w:rsidRPr="00C0320C">
        <w:rPr>
          <w:rFonts w:cs="Calibri"/>
        </w:rPr>
        <w:t xml:space="preserve"> For biocarbon in soils, for practical reasons only the top 30 cm were included in this study. In particular for peat and peaty soils, this results in a strong underestimation of the total stock of biocarbon in soils. This shortcoming in the current models also potentially influences C flows in the case of water table changes exceeding this depth.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2E7C8" w14:textId="77777777" w:rsidR="00EF54B4" w:rsidRPr="0034539B" w:rsidRDefault="00EF54B4">
    <w:pPr>
      <w:pStyle w:val="Header"/>
      <w:rPr>
        <w:sz w:val="16"/>
        <w:szCs w:val="16"/>
      </w:rPr>
    </w:pPr>
    <w:r w:rsidRPr="0034539B">
      <w:rPr>
        <w:noProof/>
      </w:rPr>
      <w:drawing>
        <wp:anchor distT="0" distB="0" distL="114300" distR="114300" simplePos="0" relativeHeight="251658246" behindDoc="1" locked="0" layoutInCell="1" allowOverlap="1" wp14:anchorId="38519C90" wp14:editId="2DF00878">
          <wp:simplePos x="0" y="0"/>
          <wp:positionH relativeFrom="column">
            <wp:posOffset>-1327150</wp:posOffset>
          </wp:positionH>
          <wp:positionV relativeFrom="paragraph">
            <wp:posOffset>-2513965</wp:posOffset>
          </wp:positionV>
          <wp:extent cx="1257300" cy="592455"/>
          <wp:effectExtent l="0" t="0" r="0" b="0"/>
          <wp:wrapNone/>
          <wp:docPr id="114776147" name="Picture 114776147" descr="Description: MAC HD:Users:Owner:Desktop:Foot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Description: MAC HD:Users:Owner:Desktop:Footerlogo.png"/>
                  <pic:cNvPicPr>
                    <a:picLocks noChangeAspect="1" noChangeArrowheads="1"/>
                  </pic:cNvPicPr>
                </pic:nvPicPr>
                <pic:blipFill>
                  <a:blip r:embed="rId1">
                    <a:extLst>
                      <a:ext uri="{28A0092B-C50C-407E-A947-70E740481C1C}">
                        <a14:useLocalDpi xmlns:a14="http://schemas.microsoft.com/office/drawing/2010/main" val="0"/>
                      </a:ext>
                    </a:extLst>
                  </a:blip>
                  <a:srcRect l="25851" t="30582" r="31644" b="43442"/>
                  <a:stretch>
                    <a:fillRect/>
                  </a:stretch>
                </pic:blipFill>
                <pic:spPr bwMode="auto">
                  <a:xfrm>
                    <a:off x="0" y="0"/>
                    <a:ext cx="1257300" cy="592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4539B">
      <w:rPr>
        <w:noProof/>
      </w:rPr>
      <mc:AlternateContent>
        <mc:Choice Requires="wps">
          <w:drawing>
            <wp:anchor distT="4294967295" distB="4294967295" distL="114300" distR="114300" simplePos="0" relativeHeight="251658245" behindDoc="0" locked="0" layoutInCell="1" allowOverlap="1" wp14:anchorId="6C81BA5C" wp14:editId="47D7424C">
              <wp:simplePos x="0" y="0"/>
              <wp:positionH relativeFrom="margin">
                <wp:posOffset>-1275715</wp:posOffset>
              </wp:positionH>
              <wp:positionV relativeFrom="paragraph">
                <wp:posOffset>-2513966</wp:posOffset>
              </wp:positionV>
              <wp:extent cx="6049645" cy="0"/>
              <wp:effectExtent l="0" t="0" r="27305" b="19050"/>
              <wp:wrapNone/>
              <wp:docPr id="1623692774" name="Straight Connector 16236927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9645" cy="0"/>
                      </a:xfrm>
                      <a:prstGeom prst="line">
                        <a:avLst/>
                      </a:prstGeom>
                      <a:noFill/>
                      <a:ln w="254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55C7A0DE" id="Straight Connector 1623692774" o:spid="_x0000_s1026" style="position:absolute;z-index:251658245;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100.45pt,-197.95pt" to="375.9pt,-19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" strokecolor="windowText" strokeweight=".2pt">
              <o:lock v:ext="edit" shapetype="f"/>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A1AAC" w14:textId="77777777" w:rsidR="00110772" w:rsidRPr="0034539B" w:rsidRDefault="0063590D">
    <w:pPr>
      <w:pStyle w:val="Header"/>
      <w:rPr>
        <w:sz w:val="16"/>
        <w:szCs w:val="16"/>
      </w:rPr>
    </w:pPr>
    <w:r w:rsidRPr="0034539B">
      <w:rPr>
        <w:noProof/>
      </w:rPr>
      <w:drawing>
        <wp:anchor distT="0" distB="0" distL="114300" distR="114300" simplePos="0" relativeHeight="251658243" behindDoc="1" locked="0" layoutInCell="1" allowOverlap="1" wp14:anchorId="303B8A5E" wp14:editId="773815BB">
          <wp:simplePos x="0" y="0"/>
          <wp:positionH relativeFrom="column">
            <wp:posOffset>-1327150</wp:posOffset>
          </wp:positionH>
          <wp:positionV relativeFrom="paragraph">
            <wp:posOffset>-2513965</wp:posOffset>
          </wp:positionV>
          <wp:extent cx="1257300" cy="592455"/>
          <wp:effectExtent l="0" t="0" r="0" b="0"/>
          <wp:wrapNone/>
          <wp:docPr id="1898371188" name="Picture 1898371188" descr="Description: MAC HD:Users:Owner:Desktop:Foote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Description: MAC HD:Users:Owner:Desktop:Footerlogo.png"/>
                  <pic:cNvPicPr>
                    <a:picLocks noChangeAspect="1" noChangeArrowheads="1"/>
                  </pic:cNvPicPr>
                </pic:nvPicPr>
                <pic:blipFill>
                  <a:blip r:embed="rId1">
                    <a:extLst>
                      <a:ext uri="{28A0092B-C50C-407E-A947-70E740481C1C}">
                        <a14:useLocalDpi xmlns:a14="http://schemas.microsoft.com/office/drawing/2010/main" val="0"/>
                      </a:ext>
                    </a:extLst>
                  </a:blip>
                  <a:srcRect l="25851" t="30582" r="31644" b="43442"/>
                  <a:stretch>
                    <a:fillRect/>
                  </a:stretch>
                </pic:blipFill>
                <pic:spPr bwMode="auto">
                  <a:xfrm>
                    <a:off x="0" y="0"/>
                    <a:ext cx="1257300" cy="592455"/>
                  </a:xfrm>
                  <a:prstGeom prst="rect">
                    <a:avLst/>
                  </a:prstGeom>
                  <a:noFill/>
                  <a:ln>
                    <a:noFill/>
                  </a:ln>
                </pic:spPr>
              </pic:pic>
            </a:graphicData>
          </a:graphic>
          <wp14:sizeRelH relativeFrom="page">
            <wp14:pctWidth>0</wp14:pctWidth>
          </wp14:sizeRelH>
          <wp14:sizeRelV relativeFrom="page">
            <wp14:pctHeight>0</wp14:pctHeight>
          </wp14:sizeRelV>
        </wp:anchor>
      </w:drawing>
    </w:r>
    <w:r w:rsidR="003D3BAA" w:rsidRPr="0034539B">
      <w:rPr>
        <w:noProof/>
      </w:rPr>
      <mc:AlternateContent>
        <mc:Choice Requires="wps">
          <w:drawing>
            <wp:anchor distT="4294967295" distB="4294967295" distL="114300" distR="114300" simplePos="0" relativeHeight="251658242" behindDoc="0" locked="0" layoutInCell="1" allowOverlap="1" wp14:anchorId="3DA6A21E" wp14:editId="3CA6240D">
              <wp:simplePos x="0" y="0"/>
              <wp:positionH relativeFrom="margin">
                <wp:posOffset>-1275715</wp:posOffset>
              </wp:positionH>
              <wp:positionV relativeFrom="paragraph">
                <wp:posOffset>-2513966</wp:posOffset>
              </wp:positionV>
              <wp:extent cx="6049645" cy="0"/>
              <wp:effectExtent l="0" t="0" r="27305" b="19050"/>
              <wp:wrapNone/>
              <wp:docPr id="92" name="Straight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49645" cy="0"/>
                      </a:xfrm>
                      <a:prstGeom prst="line">
                        <a:avLst/>
                      </a:prstGeom>
                      <a:noFill/>
                      <a:ln w="254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79CFE06C" id="Straight Connector 92" o:spid="_x0000_s1026" style="position:absolute;z-index:25165824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100.45pt,-197.95pt" to="375.9pt,-19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" strokecolor="windowText" strokeweight=".2pt">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047E8"/>
    <w:multiLevelType w:val="hybridMultilevel"/>
    <w:tmpl w:val="B07E453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 w15:restartNumberingAfterBreak="0">
    <w:nsid w:val="07686398"/>
    <w:multiLevelType w:val="multilevel"/>
    <w:tmpl w:val="FCE48324"/>
    <w:styleLink w:val="CurrentList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7F03508"/>
    <w:multiLevelType w:val="multilevel"/>
    <w:tmpl w:val="BAEA1FEE"/>
    <w:styleLink w:val="CurrentList15"/>
    <w:lvl w:ilvl="0">
      <w:start w:val="1"/>
      <w:numFmt w:val="lowerLetter"/>
      <w:lvlText w:val="%1."/>
      <w:lvlJc w:val="left"/>
      <w:pPr>
        <w:ind w:left="1440"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3" w15:restartNumberingAfterBreak="0">
    <w:nsid w:val="09110C65"/>
    <w:multiLevelType w:val="hybridMultilevel"/>
    <w:tmpl w:val="3CCCADAC"/>
    <w:lvl w:ilvl="0" w:tplc="0409000F">
      <w:start w:val="1"/>
      <w:numFmt w:val="decimal"/>
      <w:lvlText w:val="%1."/>
      <w:lvlJc w:val="left"/>
      <w:pPr>
        <w:ind w:left="1437" w:hanging="360"/>
      </w:pPr>
    </w:lvl>
    <w:lvl w:ilvl="1" w:tplc="04090019">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 w15:restartNumberingAfterBreak="0">
    <w:nsid w:val="0B975590"/>
    <w:multiLevelType w:val="multilevel"/>
    <w:tmpl w:val="105E53FE"/>
    <w:styleLink w:val="CurrentList16"/>
    <w:lvl w:ilvl="0">
      <w:start w:val="1"/>
      <w:numFmt w:val="lowerLetter"/>
      <w:lvlText w:val="%1."/>
      <w:lvlJc w:val="left"/>
      <w:pPr>
        <w:ind w:left="1440"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5" w15:restartNumberingAfterBreak="0">
    <w:nsid w:val="0D3A2AC2"/>
    <w:multiLevelType w:val="multilevel"/>
    <w:tmpl w:val="6110FBBC"/>
    <w:styleLink w:val="CurrentList11"/>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15:restartNumberingAfterBreak="0">
    <w:nsid w:val="14FC347E"/>
    <w:multiLevelType w:val="multilevel"/>
    <w:tmpl w:val="2E8C3626"/>
    <w:styleLink w:val="CurrentList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1725CD"/>
    <w:multiLevelType w:val="multilevel"/>
    <w:tmpl w:val="ADCE3EF6"/>
    <w:styleLink w:val="CurrentList9"/>
    <w:lvl w:ilvl="0">
      <w:start w:val="17"/>
      <w:numFmt w:val="decimal"/>
      <w:lvlText w:val="2.%1"/>
      <w:lvlJc w:val="left"/>
      <w:pPr>
        <w:ind w:left="1440" w:hanging="153"/>
      </w:pPr>
      <w:rPr>
        <w:rFonts w:cs="Times New Roman" w:hint="default"/>
      </w:rPr>
    </w:lvl>
    <w:lvl w:ilvl="1">
      <w:start w:val="1"/>
      <w:numFmt w:val="lowerLetter"/>
      <w:lvlText w:val="%2."/>
      <w:lvlJc w:val="left"/>
      <w:pPr>
        <w:ind w:left="2367" w:hanging="360"/>
      </w:pPr>
      <w:rPr>
        <w:rFonts w:cs="Times New Roman"/>
      </w:rPr>
    </w:lvl>
    <w:lvl w:ilvl="2">
      <w:start w:val="1"/>
      <w:numFmt w:val="lowerRoman"/>
      <w:lvlText w:val="%3."/>
      <w:lvlJc w:val="right"/>
      <w:pPr>
        <w:ind w:left="3087" w:hanging="180"/>
      </w:pPr>
      <w:rPr>
        <w:rFonts w:cs="Times New Roman"/>
      </w:rPr>
    </w:lvl>
    <w:lvl w:ilvl="3">
      <w:start w:val="1"/>
      <w:numFmt w:val="decimal"/>
      <w:lvlText w:val="%4."/>
      <w:lvlJc w:val="left"/>
      <w:pPr>
        <w:ind w:left="3807" w:hanging="360"/>
      </w:pPr>
      <w:rPr>
        <w:rFonts w:cs="Times New Roman"/>
      </w:rPr>
    </w:lvl>
    <w:lvl w:ilvl="4">
      <w:start w:val="1"/>
      <w:numFmt w:val="lowerLetter"/>
      <w:lvlText w:val="%5."/>
      <w:lvlJc w:val="left"/>
      <w:pPr>
        <w:ind w:left="4527" w:hanging="360"/>
      </w:pPr>
      <w:rPr>
        <w:rFonts w:cs="Times New Roman"/>
      </w:rPr>
    </w:lvl>
    <w:lvl w:ilvl="5">
      <w:start w:val="1"/>
      <w:numFmt w:val="lowerRoman"/>
      <w:lvlText w:val="%6."/>
      <w:lvlJc w:val="right"/>
      <w:pPr>
        <w:ind w:left="5247" w:hanging="180"/>
      </w:pPr>
      <w:rPr>
        <w:rFonts w:cs="Times New Roman"/>
      </w:rPr>
    </w:lvl>
    <w:lvl w:ilvl="6">
      <w:start w:val="1"/>
      <w:numFmt w:val="decimal"/>
      <w:lvlText w:val="%7."/>
      <w:lvlJc w:val="left"/>
      <w:pPr>
        <w:ind w:left="5967" w:hanging="360"/>
      </w:pPr>
      <w:rPr>
        <w:rFonts w:cs="Times New Roman"/>
      </w:rPr>
    </w:lvl>
    <w:lvl w:ilvl="7">
      <w:start w:val="1"/>
      <w:numFmt w:val="lowerLetter"/>
      <w:lvlText w:val="%8."/>
      <w:lvlJc w:val="left"/>
      <w:pPr>
        <w:ind w:left="6687" w:hanging="360"/>
      </w:pPr>
      <w:rPr>
        <w:rFonts w:cs="Times New Roman"/>
      </w:rPr>
    </w:lvl>
    <w:lvl w:ilvl="8">
      <w:start w:val="1"/>
      <w:numFmt w:val="lowerRoman"/>
      <w:lvlText w:val="%9."/>
      <w:lvlJc w:val="right"/>
      <w:pPr>
        <w:ind w:left="7407" w:hanging="180"/>
      </w:pPr>
      <w:rPr>
        <w:rFonts w:cs="Times New Roman"/>
      </w:rPr>
    </w:lvl>
  </w:abstractNum>
  <w:abstractNum w:abstractNumId="8" w15:restartNumberingAfterBreak="0">
    <w:nsid w:val="16E80240"/>
    <w:multiLevelType w:val="multilevel"/>
    <w:tmpl w:val="66F418D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436ACD"/>
    <w:multiLevelType w:val="hybridMultilevel"/>
    <w:tmpl w:val="ED1C13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CCC7275"/>
    <w:multiLevelType w:val="multilevel"/>
    <w:tmpl w:val="63CA92F8"/>
    <w:styleLink w:val="CurrentList12"/>
    <w:lvl w:ilvl="0">
      <w:start w:val="1"/>
      <w:numFmt w:val="decimal"/>
      <w:lvlText w:val="13.%1"/>
      <w:lvlJc w:val="left"/>
      <w:pPr>
        <w:ind w:left="709" w:hanging="709"/>
      </w:pPr>
      <w:rPr>
        <w:rFonts w:ascii="Calibri" w:hAnsi="Calibri" w:cs="Calibri" w:hint="default"/>
      </w:rPr>
    </w:lvl>
    <w:lvl w:ilvl="1">
      <w:start w:val="1"/>
      <w:numFmt w:val="decimal"/>
      <w:lvlText w:val="%1.%2."/>
      <w:lvlJc w:val="left"/>
      <w:pPr>
        <w:ind w:left="1066" w:hanging="709"/>
      </w:pPr>
      <w:rPr>
        <w:rFonts w:hint="default"/>
      </w:rPr>
    </w:lvl>
    <w:lvl w:ilvl="2">
      <w:start w:val="1"/>
      <w:numFmt w:val="decimal"/>
      <w:lvlText w:val="%1.%2.%3."/>
      <w:lvlJc w:val="left"/>
      <w:pPr>
        <w:ind w:left="1423" w:hanging="709"/>
      </w:pPr>
      <w:rPr>
        <w:rFonts w:hint="default"/>
      </w:rPr>
    </w:lvl>
    <w:lvl w:ilvl="3">
      <w:start w:val="1"/>
      <w:numFmt w:val="decimal"/>
      <w:lvlText w:val="%1.%2.%3.%4."/>
      <w:lvlJc w:val="left"/>
      <w:pPr>
        <w:ind w:left="1780" w:hanging="709"/>
      </w:pPr>
      <w:rPr>
        <w:rFonts w:hint="default"/>
      </w:rPr>
    </w:lvl>
    <w:lvl w:ilvl="4">
      <w:start w:val="1"/>
      <w:numFmt w:val="decimal"/>
      <w:lvlText w:val="%1.%2.%3.%4.%5."/>
      <w:lvlJc w:val="left"/>
      <w:pPr>
        <w:ind w:left="2137" w:hanging="709"/>
      </w:pPr>
      <w:rPr>
        <w:rFonts w:hint="default"/>
      </w:rPr>
    </w:lvl>
    <w:lvl w:ilvl="5">
      <w:start w:val="1"/>
      <w:numFmt w:val="decimal"/>
      <w:lvlText w:val="%1.%2.%3.%4.%5.%6."/>
      <w:lvlJc w:val="left"/>
      <w:pPr>
        <w:ind w:left="2494" w:hanging="709"/>
      </w:pPr>
      <w:rPr>
        <w:rFonts w:hint="default"/>
      </w:rPr>
    </w:lvl>
    <w:lvl w:ilvl="6">
      <w:start w:val="1"/>
      <w:numFmt w:val="decimal"/>
      <w:lvlText w:val="%1.%2.%3.%4.%5.%6.%7."/>
      <w:lvlJc w:val="left"/>
      <w:pPr>
        <w:ind w:left="2851" w:hanging="709"/>
      </w:pPr>
      <w:rPr>
        <w:rFonts w:hint="default"/>
      </w:rPr>
    </w:lvl>
    <w:lvl w:ilvl="7">
      <w:start w:val="1"/>
      <w:numFmt w:val="decimal"/>
      <w:lvlText w:val="%1.%2.%3.%4.%5.%6.%7.%8."/>
      <w:lvlJc w:val="left"/>
      <w:pPr>
        <w:ind w:left="3208" w:hanging="709"/>
      </w:pPr>
      <w:rPr>
        <w:rFonts w:hint="default"/>
      </w:rPr>
    </w:lvl>
    <w:lvl w:ilvl="8">
      <w:start w:val="1"/>
      <w:numFmt w:val="decimal"/>
      <w:lvlText w:val="%1.%2.%3.%4.%5.%6.%7.%8.%9."/>
      <w:lvlJc w:val="left"/>
      <w:pPr>
        <w:ind w:left="3565" w:hanging="709"/>
      </w:pPr>
      <w:rPr>
        <w:rFonts w:hint="default"/>
      </w:rPr>
    </w:lvl>
  </w:abstractNum>
  <w:abstractNum w:abstractNumId="11" w15:restartNumberingAfterBreak="0">
    <w:nsid w:val="1E7F26F7"/>
    <w:multiLevelType w:val="hybridMultilevel"/>
    <w:tmpl w:val="6D2CAF92"/>
    <w:lvl w:ilvl="0" w:tplc="08090001">
      <w:start w:val="1"/>
      <w:numFmt w:val="bullet"/>
      <w:lvlText w:val=""/>
      <w:lvlJc w:val="left"/>
      <w:pPr>
        <w:ind w:left="2700" w:hanging="360"/>
      </w:pPr>
      <w:rPr>
        <w:rFonts w:ascii="Symbol" w:hAnsi="Symbol" w:hint="default"/>
      </w:rPr>
    </w:lvl>
    <w:lvl w:ilvl="1" w:tplc="08090003" w:tentative="1">
      <w:start w:val="1"/>
      <w:numFmt w:val="bullet"/>
      <w:lvlText w:val="o"/>
      <w:lvlJc w:val="left"/>
      <w:pPr>
        <w:ind w:left="3420" w:hanging="360"/>
      </w:pPr>
      <w:rPr>
        <w:rFonts w:ascii="Courier New" w:hAnsi="Courier New" w:cs="Courier New" w:hint="default"/>
      </w:rPr>
    </w:lvl>
    <w:lvl w:ilvl="2" w:tplc="08090005" w:tentative="1">
      <w:start w:val="1"/>
      <w:numFmt w:val="bullet"/>
      <w:lvlText w:val=""/>
      <w:lvlJc w:val="left"/>
      <w:pPr>
        <w:ind w:left="4140" w:hanging="360"/>
      </w:pPr>
      <w:rPr>
        <w:rFonts w:ascii="Wingdings" w:hAnsi="Wingdings" w:hint="default"/>
      </w:rPr>
    </w:lvl>
    <w:lvl w:ilvl="3" w:tplc="08090001" w:tentative="1">
      <w:start w:val="1"/>
      <w:numFmt w:val="bullet"/>
      <w:lvlText w:val=""/>
      <w:lvlJc w:val="left"/>
      <w:pPr>
        <w:ind w:left="4860" w:hanging="360"/>
      </w:pPr>
      <w:rPr>
        <w:rFonts w:ascii="Symbol" w:hAnsi="Symbol" w:hint="default"/>
      </w:rPr>
    </w:lvl>
    <w:lvl w:ilvl="4" w:tplc="08090003" w:tentative="1">
      <w:start w:val="1"/>
      <w:numFmt w:val="bullet"/>
      <w:lvlText w:val="o"/>
      <w:lvlJc w:val="left"/>
      <w:pPr>
        <w:ind w:left="5580" w:hanging="360"/>
      </w:pPr>
      <w:rPr>
        <w:rFonts w:ascii="Courier New" w:hAnsi="Courier New" w:cs="Courier New" w:hint="default"/>
      </w:rPr>
    </w:lvl>
    <w:lvl w:ilvl="5" w:tplc="08090005" w:tentative="1">
      <w:start w:val="1"/>
      <w:numFmt w:val="bullet"/>
      <w:lvlText w:val=""/>
      <w:lvlJc w:val="left"/>
      <w:pPr>
        <w:ind w:left="6300" w:hanging="360"/>
      </w:pPr>
      <w:rPr>
        <w:rFonts w:ascii="Wingdings" w:hAnsi="Wingdings" w:hint="default"/>
      </w:rPr>
    </w:lvl>
    <w:lvl w:ilvl="6" w:tplc="08090001" w:tentative="1">
      <w:start w:val="1"/>
      <w:numFmt w:val="bullet"/>
      <w:lvlText w:val=""/>
      <w:lvlJc w:val="left"/>
      <w:pPr>
        <w:ind w:left="7020" w:hanging="360"/>
      </w:pPr>
      <w:rPr>
        <w:rFonts w:ascii="Symbol" w:hAnsi="Symbol" w:hint="default"/>
      </w:rPr>
    </w:lvl>
    <w:lvl w:ilvl="7" w:tplc="08090003" w:tentative="1">
      <w:start w:val="1"/>
      <w:numFmt w:val="bullet"/>
      <w:lvlText w:val="o"/>
      <w:lvlJc w:val="left"/>
      <w:pPr>
        <w:ind w:left="7740" w:hanging="360"/>
      </w:pPr>
      <w:rPr>
        <w:rFonts w:ascii="Courier New" w:hAnsi="Courier New" w:cs="Courier New" w:hint="default"/>
      </w:rPr>
    </w:lvl>
    <w:lvl w:ilvl="8" w:tplc="08090005" w:tentative="1">
      <w:start w:val="1"/>
      <w:numFmt w:val="bullet"/>
      <w:lvlText w:val=""/>
      <w:lvlJc w:val="left"/>
      <w:pPr>
        <w:ind w:left="8460" w:hanging="360"/>
      </w:pPr>
      <w:rPr>
        <w:rFonts w:ascii="Wingdings" w:hAnsi="Wingdings" w:hint="default"/>
      </w:rPr>
    </w:lvl>
  </w:abstractNum>
  <w:abstractNum w:abstractNumId="12" w15:restartNumberingAfterBreak="0">
    <w:nsid w:val="1EE903E5"/>
    <w:multiLevelType w:val="hybridMultilevel"/>
    <w:tmpl w:val="24F67EA2"/>
    <w:lvl w:ilvl="0" w:tplc="897A7130">
      <w:start w:val="1"/>
      <w:numFmt w:val="decimal"/>
      <w:lvlText w:val="%1)"/>
      <w:lvlJc w:val="left"/>
      <w:pPr>
        <w:ind w:left="1020" w:hanging="360"/>
      </w:pPr>
    </w:lvl>
    <w:lvl w:ilvl="1" w:tplc="CCA67F22">
      <w:start w:val="1"/>
      <w:numFmt w:val="decimal"/>
      <w:lvlText w:val="%2)"/>
      <w:lvlJc w:val="left"/>
      <w:pPr>
        <w:ind w:left="1020" w:hanging="360"/>
      </w:pPr>
    </w:lvl>
    <w:lvl w:ilvl="2" w:tplc="BD248A00">
      <w:start w:val="1"/>
      <w:numFmt w:val="decimal"/>
      <w:lvlText w:val="%3)"/>
      <w:lvlJc w:val="left"/>
      <w:pPr>
        <w:ind w:left="1020" w:hanging="360"/>
      </w:pPr>
    </w:lvl>
    <w:lvl w:ilvl="3" w:tplc="B60A22B6">
      <w:start w:val="1"/>
      <w:numFmt w:val="decimal"/>
      <w:lvlText w:val="%4)"/>
      <w:lvlJc w:val="left"/>
      <w:pPr>
        <w:ind w:left="1020" w:hanging="360"/>
      </w:pPr>
    </w:lvl>
    <w:lvl w:ilvl="4" w:tplc="16EE0A54">
      <w:start w:val="1"/>
      <w:numFmt w:val="decimal"/>
      <w:lvlText w:val="%5)"/>
      <w:lvlJc w:val="left"/>
      <w:pPr>
        <w:ind w:left="1020" w:hanging="360"/>
      </w:pPr>
    </w:lvl>
    <w:lvl w:ilvl="5" w:tplc="883E4954">
      <w:start w:val="1"/>
      <w:numFmt w:val="decimal"/>
      <w:lvlText w:val="%6)"/>
      <w:lvlJc w:val="left"/>
      <w:pPr>
        <w:ind w:left="1020" w:hanging="360"/>
      </w:pPr>
    </w:lvl>
    <w:lvl w:ilvl="6" w:tplc="A1FE3170">
      <w:start w:val="1"/>
      <w:numFmt w:val="decimal"/>
      <w:lvlText w:val="%7)"/>
      <w:lvlJc w:val="left"/>
      <w:pPr>
        <w:ind w:left="1020" w:hanging="360"/>
      </w:pPr>
    </w:lvl>
    <w:lvl w:ilvl="7" w:tplc="03309522">
      <w:start w:val="1"/>
      <w:numFmt w:val="decimal"/>
      <w:lvlText w:val="%8)"/>
      <w:lvlJc w:val="left"/>
      <w:pPr>
        <w:ind w:left="1020" w:hanging="360"/>
      </w:pPr>
    </w:lvl>
    <w:lvl w:ilvl="8" w:tplc="DE70F464">
      <w:start w:val="1"/>
      <w:numFmt w:val="decimal"/>
      <w:lvlText w:val="%9)"/>
      <w:lvlJc w:val="left"/>
      <w:pPr>
        <w:ind w:left="1020" w:hanging="360"/>
      </w:pPr>
    </w:lvl>
  </w:abstractNum>
  <w:abstractNum w:abstractNumId="13" w15:restartNumberingAfterBreak="0">
    <w:nsid w:val="1EFF61BB"/>
    <w:multiLevelType w:val="multilevel"/>
    <w:tmpl w:val="66F418D6"/>
    <w:styleLink w:val="CurrentLi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0645986"/>
    <w:multiLevelType w:val="multilevel"/>
    <w:tmpl w:val="B290C634"/>
    <w:lvl w:ilvl="0">
      <w:start w:val="1"/>
      <w:numFmt w:val="decimal"/>
      <w:pStyle w:val="AABodytext"/>
      <w:lvlText w:val="5.%1"/>
      <w:lvlJc w:val="left"/>
      <w:pPr>
        <w:ind w:left="720" w:hanging="153"/>
      </w:pPr>
      <w:rPr>
        <w:rFonts w:ascii="Times New Roman" w:hAnsi="Times New Roman" w:cs="Times New Roman" w:hint="default"/>
        <w:sz w:val="20"/>
        <w:szCs w:val="2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5" w15:restartNumberingAfterBreak="0">
    <w:nsid w:val="21CD720B"/>
    <w:multiLevelType w:val="hybridMultilevel"/>
    <w:tmpl w:val="B5F4F640"/>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CB668C"/>
    <w:multiLevelType w:val="multilevel"/>
    <w:tmpl w:val="7702ED48"/>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F4522C6"/>
    <w:multiLevelType w:val="hybridMultilevel"/>
    <w:tmpl w:val="76E2254A"/>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7D16E1"/>
    <w:multiLevelType w:val="multilevel"/>
    <w:tmpl w:val="4B265BA2"/>
    <w:styleLink w:val="CurrentList4"/>
    <w:lvl w:ilvl="0">
      <w:start w:val="1"/>
      <w:numFmt w:val="decimal"/>
      <w:lvlText w:val="%1"/>
      <w:lvlJc w:val="left"/>
      <w:pPr>
        <w:ind w:left="449" w:hanging="432"/>
      </w:pPr>
    </w:lvl>
    <w:lvl w:ilvl="1">
      <w:start w:val="1"/>
      <w:numFmt w:val="decimal"/>
      <w:lvlText w:val="%1.%2"/>
      <w:lvlJc w:val="left"/>
      <w:pPr>
        <w:ind w:left="593" w:hanging="576"/>
      </w:pPr>
    </w:lvl>
    <w:lvl w:ilvl="2">
      <w:start w:val="1"/>
      <w:numFmt w:val="decimal"/>
      <w:lvlText w:val="%1.%2.%3"/>
      <w:lvlJc w:val="left"/>
      <w:pPr>
        <w:ind w:left="737" w:hanging="720"/>
      </w:pPr>
    </w:lvl>
    <w:lvl w:ilvl="3">
      <w:start w:val="1"/>
      <w:numFmt w:val="decimal"/>
      <w:lvlText w:val="%1.%2.%3.%4"/>
      <w:lvlJc w:val="left"/>
      <w:pPr>
        <w:ind w:left="881" w:hanging="864"/>
      </w:pPr>
    </w:lvl>
    <w:lvl w:ilvl="4">
      <w:start w:val="1"/>
      <w:numFmt w:val="decimal"/>
      <w:lvlText w:val="%1.%2.%3.%4.%5"/>
      <w:lvlJc w:val="left"/>
      <w:pPr>
        <w:ind w:left="1025" w:hanging="1008"/>
      </w:pPr>
    </w:lvl>
    <w:lvl w:ilvl="5">
      <w:start w:val="1"/>
      <w:numFmt w:val="decimal"/>
      <w:lvlText w:val="%1.%2.%3.%4.%5.%6"/>
      <w:lvlJc w:val="left"/>
      <w:pPr>
        <w:ind w:left="1169" w:hanging="1152"/>
      </w:pPr>
    </w:lvl>
    <w:lvl w:ilvl="6">
      <w:start w:val="1"/>
      <w:numFmt w:val="decimal"/>
      <w:lvlText w:val="%1.%2.%3.%4.%5.%6.%7"/>
      <w:lvlJc w:val="left"/>
      <w:pPr>
        <w:ind w:left="1313" w:hanging="1296"/>
      </w:pPr>
    </w:lvl>
    <w:lvl w:ilvl="7">
      <w:start w:val="1"/>
      <w:numFmt w:val="decimal"/>
      <w:lvlText w:val="%1.%2.%3.%4.%5.%6.%7.%8"/>
      <w:lvlJc w:val="left"/>
      <w:pPr>
        <w:ind w:left="1457" w:hanging="1440"/>
      </w:pPr>
    </w:lvl>
    <w:lvl w:ilvl="8">
      <w:start w:val="1"/>
      <w:numFmt w:val="decimal"/>
      <w:lvlText w:val="%1.%2.%3.%4.%5.%6.%7.%8.%9"/>
      <w:lvlJc w:val="left"/>
      <w:pPr>
        <w:ind w:left="1601" w:hanging="1584"/>
      </w:pPr>
    </w:lvl>
  </w:abstractNum>
  <w:abstractNum w:abstractNumId="19" w15:restartNumberingAfterBreak="0">
    <w:nsid w:val="3BCC3CAB"/>
    <w:multiLevelType w:val="multilevel"/>
    <w:tmpl w:val="32147188"/>
    <w:styleLink w:val="CurrentList1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E673E13"/>
    <w:multiLevelType w:val="hybridMultilevel"/>
    <w:tmpl w:val="ADCE3EF6"/>
    <w:lvl w:ilvl="0" w:tplc="BCBAC344">
      <w:start w:val="17"/>
      <w:numFmt w:val="decimal"/>
      <w:pStyle w:val="BodyText1"/>
      <w:lvlText w:val="2.%1"/>
      <w:lvlJc w:val="left"/>
      <w:pPr>
        <w:ind w:left="1440" w:hanging="153"/>
      </w:pPr>
      <w:rPr>
        <w:rFonts w:cs="Times New Roman" w:hint="default"/>
      </w:rPr>
    </w:lvl>
    <w:lvl w:ilvl="1" w:tplc="04090019">
      <w:start w:val="1"/>
      <w:numFmt w:val="lowerLetter"/>
      <w:lvlText w:val="%2."/>
      <w:lvlJc w:val="left"/>
      <w:pPr>
        <w:ind w:left="2367" w:hanging="360"/>
      </w:pPr>
      <w:rPr>
        <w:rFonts w:cs="Times New Roman"/>
      </w:rPr>
    </w:lvl>
    <w:lvl w:ilvl="2" w:tplc="0409001B" w:tentative="1">
      <w:start w:val="1"/>
      <w:numFmt w:val="lowerRoman"/>
      <w:lvlText w:val="%3."/>
      <w:lvlJc w:val="right"/>
      <w:pPr>
        <w:ind w:left="3087" w:hanging="180"/>
      </w:pPr>
      <w:rPr>
        <w:rFonts w:cs="Times New Roman"/>
      </w:rPr>
    </w:lvl>
    <w:lvl w:ilvl="3" w:tplc="0409000F" w:tentative="1">
      <w:start w:val="1"/>
      <w:numFmt w:val="decimal"/>
      <w:lvlText w:val="%4."/>
      <w:lvlJc w:val="left"/>
      <w:pPr>
        <w:ind w:left="3807" w:hanging="360"/>
      </w:pPr>
      <w:rPr>
        <w:rFonts w:cs="Times New Roman"/>
      </w:rPr>
    </w:lvl>
    <w:lvl w:ilvl="4" w:tplc="04090019" w:tentative="1">
      <w:start w:val="1"/>
      <w:numFmt w:val="lowerLetter"/>
      <w:lvlText w:val="%5."/>
      <w:lvlJc w:val="left"/>
      <w:pPr>
        <w:ind w:left="4527" w:hanging="360"/>
      </w:pPr>
      <w:rPr>
        <w:rFonts w:cs="Times New Roman"/>
      </w:rPr>
    </w:lvl>
    <w:lvl w:ilvl="5" w:tplc="0409001B" w:tentative="1">
      <w:start w:val="1"/>
      <w:numFmt w:val="lowerRoman"/>
      <w:lvlText w:val="%6."/>
      <w:lvlJc w:val="right"/>
      <w:pPr>
        <w:ind w:left="5247" w:hanging="180"/>
      </w:pPr>
      <w:rPr>
        <w:rFonts w:cs="Times New Roman"/>
      </w:rPr>
    </w:lvl>
    <w:lvl w:ilvl="6" w:tplc="0409000F" w:tentative="1">
      <w:start w:val="1"/>
      <w:numFmt w:val="decimal"/>
      <w:lvlText w:val="%7."/>
      <w:lvlJc w:val="left"/>
      <w:pPr>
        <w:ind w:left="5967" w:hanging="360"/>
      </w:pPr>
      <w:rPr>
        <w:rFonts w:cs="Times New Roman"/>
      </w:rPr>
    </w:lvl>
    <w:lvl w:ilvl="7" w:tplc="04090019" w:tentative="1">
      <w:start w:val="1"/>
      <w:numFmt w:val="lowerLetter"/>
      <w:lvlText w:val="%8."/>
      <w:lvlJc w:val="left"/>
      <w:pPr>
        <w:ind w:left="6687" w:hanging="360"/>
      </w:pPr>
      <w:rPr>
        <w:rFonts w:cs="Times New Roman"/>
      </w:rPr>
    </w:lvl>
    <w:lvl w:ilvl="8" w:tplc="0409001B" w:tentative="1">
      <w:start w:val="1"/>
      <w:numFmt w:val="lowerRoman"/>
      <w:lvlText w:val="%9."/>
      <w:lvlJc w:val="right"/>
      <w:pPr>
        <w:ind w:left="7407" w:hanging="180"/>
      </w:pPr>
      <w:rPr>
        <w:rFonts w:cs="Times New Roman"/>
      </w:rPr>
    </w:lvl>
  </w:abstractNum>
  <w:abstractNum w:abstractNumId="21" w15:restartNumberingAfterBreak="0">
    <w:nsid w:val="3EFF6CED"/>
    <w:multiLevelType w:val="hybridMultilevel"/>
    <w:tmpl w:val="1E76F3D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2" w15:restartNumberingAfterBreak="0">
    <w:nsid w:val="44D56D26"/>
    <w:multiLevelType w:val="multilevel"/>
    <w:tmpl w:val="FEC2F736"/>
    <w:styleLink w:val="CurrentList10"/>
    <w:lvl w:ilvl="0">
      <w:start w:val="16"/>
      <w:numFmt w:val="decimal"/>
      <w:lvlText w:val="5.%1"/>
      <w:lvlJc w:val="left"/>
      <w:pPr>
        <w:ind w:left="1440" w:hanging="153"/>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1D390E"/>
    <w:multiLevelType w:val="multilevel"/>
    <w:tmpl w:val="27542E54"/>
    <w:styleLink w:val="CurrentList5"/>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4" w15:restartNumberingAfterBreak="0">
    <w:nsid w:val="458540D8"/>
    <w:multiLevelType w:val="hybridMultilevel"/>
    <w:tmpl w:val="AF7230F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468518B1"/>
    <w:multiLevelType w:val="multilevel"/>
    <w:tmpl w:val="003A260E"/>
    <w:styleLink w:val="CurrentList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141E18"/>
    <w:multiLevelType w:val="multilevel"/>
    <w:tmpl w:val="6C4290A0"/>
    <w:styleLink w:val="CurrentList6"/>
    <w:lvl w:ilvl="0">
      <w:start w:val="17"/>
      <w:numFmt w:val="decimal"/>
      <w:lvlText w:val="2.%1"/>
      <w:lvlJc w:val="left"/>
      <w:pPr>
        <w:ind w:left="1440" w:hanging="153"/>
      </w:pPr>
      <w:rPr>
        <w:rFonts w:cs="Times New Roman" w:hint="default"/>
      </w:rPr>
    </w:lvl>
    <w:lvl w:ilvl="1">
      <w:start w:val="1"/>
      <w:numFmt w:val="lowerLetter"/>
      <w:lvlText w:val="%2."/>
      <w:lvlJc w:val="left"/>
      <w:pPr>
        <w:ind w:left="2367" w:hanging="360"/>
      </w:pPr>
      <w:rPr>
        <w:rFonts w:cs="Times New Roman"/>
      </w:rPr>
    </w:lvl>
    <w:lvl w:ilvl="2">
      <w:start w:val="1"/>
      <w:numFmt w:val="lowerRoman"/>
      <w:lvlText w:val="%3."/>
      <w:lvlJc w:val="right"/>
      <w:pPr>
        <w:ind w:left="3087" w:hanging="180"/>
      </w:pPr>
      <w:rPr>
        <w:rFonts w:cs="Times New Roman"/>
      </w:rPr>
    </w:lvl>
    <w:lvl w:ilvl="3">
      <w:start w:val="1"/>
      <w:numFmt w:val="decimal"/>
      <w:lvlText w:val="%4."/>
      <w:lvlJc w:val="left"/>
      <w:pPr>
        <w:ind w:left="3807" w:hanging="360"/>
      </w:pPr>
      <w:rPr>
        <w:rFonts w:cs="Times New Roman"/>
      </w:rPr>
    </w:lvl>
    <w:lvl w:ilvl="4">
      <w:start w:val="1"/>
      <w:numFmt w:val="lowerLetter"/>
      <w:lvlText w:val="%5."/>
      <w:lvlJc w:val="left"/>
      <w:pPr>
        <w:ind w:left="4527" w:hanging="360"/>
      </w:pPr>
      <w:rPr>
        <w:rFonts w:cs="Times New Roman"/>
      </w:rPr>
    </w:lvl>
    <w:lvl w:ilvl="5">
      <w:start w:val="1"/>
      <w:numFmt w:val="lowerRoman"/>
      <w:lvlText w:val="%6."/>
      <w:lvlJc w:val="right"/>
      <w:pPr>
        <w:ind w:left="5247" w:hanging="180"/>
      </w:pPr>
      <w:rPr>
        <w:rFonts w:cs="Times New Roman"/>
      </w:rPr>
    </w:lvl>
    <w:lvl w:ilvl="6">
      <w:start w:val="1"/>
      <w:numFmt w:val="decimal"/>
      <w:lvlText w:val="%7."/>
      <w:lvlJc w:val="left"/>
      <w:pPr>
        <w:ind w:left="5967" w:hanging="360"/>
      </w:pPr>
      <w:rPr>
        <w:rFonts w:cs="Times New Roman"/>
      </w:rPr>
    </w:lvl>
    <w:lvl w:ilvl="7">
      <w:start w:val="1"/>
      <w:numFmt w:val="lowerLetter"/>
      <w:lvlText w:val="%8."/>
      <w:lvlJc w:val="left"/>
      <w:pPr>
        <w:ind w:left="6687" w:hanging="360"/>
      </w:pPr>
      <w:rPr>
        <w:rFonts w:cs="Times New Roman"/>
      </w:rPr>
    </w:lvl>
    <w:lvl w:ilvl="8">
      <w:start w:val="1"/>
      <w:numFmt w:val="lowerRoman"/>
      <w:lvlText w:val="%9."/>
      <w:lvlJc w:val="right"/>
      <w:pPr>
        <w:ind w:left="7407" w:hanging="180"/>
      </w:pPr>
      <w:rPr>
        <w:rFonts w:cs="Times New Roman"/>
      </w:rPr>
    </w:lvl>
  </w:abstractNum>
  <w:abstractNum w:abstractNumId="27" w15:restartNumberingAfterBreak="0">
    <w:nsid w:val="4B8325B2"/>
    <w:multiLevelType w:val="hybridMultilevel"/>
    <w:tmpl w:val="A94E7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0E6472"/>
    <w:multiLevelType w:val="hybridMultilevel"/>
    <w:tmpl w:val="4BC09C4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9" w15:restartNumberingAfterBreak="0">
    <w:nsid w:val="54AA5312"/>
    <w:multiLevelType w:val="multilevel"/>
    <w:tmpl w:val="F76455DE"/>
    <w:lvl w:ilvl="0">
      <w:start w:val="1"/>
      <w:numFmt w:val="decimal"/>
      <w:pStyle w:val="Heading1"/>
      <w:lvlText w:val="%1"/>
      <w:lvlJc w:val="left"/>
      <w:pPr>
        <w:ind w:left="449" w:hanging="432"/>
      </w:pPr>
    </w:lvl>
    <w:lvl w:ilvl="1">
      <w:start w:val="1"/>
      <w:numFmt w:val="decimal"/>
      <w:pStyle w:val="Heading2"/>
      <w:lvlText w:val="%1.%2"/>
      <w:lvlJc w:val="left"/>
      <w:pPr>
        <w:ind w:left="593" w:hanging="576"/>
      </w:pPr>
    </w:lvl>
    <w:lvl w:ilvl="2">
      <w:start w:val="1"/>
      <w:numFmt w:val="decimal"/>
      <w:pStyle w:val="Heading3"/>
      <w:lvlText w:val="%1.%2.%3"/>
      <w:lvlJc w:val="left"/>
      <w:pPr>
        <w:ind w:left="737" w:hanging="720"/>
      </w:pPr>
    </w:lvl>
    <w:lvl w:ilvl="3">
      <w:start w:val="1"/>
      <w:numFmt w:val="decimal"/>
      <w:pStyle w:val="Heading4"/>
      <w:lvlText w:val="%1.%2.%3.%4"/>
      <w:lvlJc w:val="left"/>
      <w:pPr>
        <w:ind w:left="881" w:hanging="864"/>
      </w:pPr>
    </w:lvl>
    <w:lvl w:ilvl="4">
      <w:start w:val="1"/>
      <w:numFmt w:val="decimal"/>
      <w:pStyle w:val="Heading5"/>
      <w:lvlText w:val="%1.%2.%3.%4.%5"/>
      <w:lvlJc w:val="left"/>
      <w:pPr>
        <w:ind w:left="1025" w:hanging="1008"/>
      </w:pPr>
    </w:lvl>
    <w:lvl w:ilvl="5">
      <w:start w:val="1"/>
      <w:numFmt w:val="decimal"/>
      <w:pStyle w:val="Heading6"/>
      <w:lvlText w:val="%1.%2.%3.%4.%5.%6"/>
      <w:lvlJc w:val="left"/>
      <w:pPr>
        <w:ind w:left="1169" w:hanging="1152"/>
      </w:pPr>
    </w:lvl>
    <w:lvl w:ilvl="6">
      <w:start w:val="1"/>
      <w:numFmt w:val="decimal"/>
      <w:pStyle w:val="Heading7"/>
      <w:lvlText w:val="%1.%2.%3.%4.%5.%6.%7"/>
      <w:lvlJc w:val="left"/>
      <w:pPr>
        <w:ind w:left="1313" w:hanging="1296"/>
      </w:pPr>
    </w:lvl>
    <w:lvl w:ilvl="7">
      <w:start w:val="1"/>
      <w:numFmt w:val="decimal"/>
      <w:pStyle w:val="Heading8"/>
      <w:lvlText w:val="%1.%2.%3.%4.%5.%6.%7.%8"/>
      <w:lvlJc w:val="left"/>
      <w:pPr>
        <w:ind w:left="1457" w:hanging="1440"/>
      </w:pPr>
    </w:lvl>
    <w:lvl w:ilvl="8">
      <w:start w:val="1"/>
      <w:numFmt w:val="decimal"/>
      <w:pStyle w:val="Heading9"/>
      <w:lvlText w:val="%1.%2.%3.%4.%5.%6.%7.%8.%9"/>
      <w:lvlJc w:val="left"/>
      <w:pPr>
        <w:ind w:left="1601" w:hanging="1584"/>
      </w:pPr>
    </w:lvl>
  </w:abstractNum>
  <w:abstractNum w:abstractNumId="30" w15:restartNumberingAfterBreak="0">
    <w:nsid w:val="595F65CF"/>
    <w:multiLevelType w:val="multilevel"/>
    <w:tmpl w:val="FF5C23FC"/>
    <w:styleLink w:val="List0"/>
    <w:lvl w:ilvl="0">
      <w:start w:val="1"/>
      <w:numFmt w:val="decimal"/>
      <w:lvlText w:val="%1."/>
      <w:lvlJc w:val="left"/>
      <w:pPr>
        <w:tabs>
          <w:tab w:val="num" w:pos="720"/>
        </w:tabs>
        <w:ind w:left="720" w:hanging="360"/>
      </w:pPr>
      <w:rPr>
        <w:position w:val="0"/>
        <w:sz w:val="24"/>
        <w:szCs w:val="24"/>
      </w:rPr>
    </w:lvl>
    <w:lvl w:ilvl="1">
      <w:start w:val="1"/>
      <w:numFmt w:val="lowerLetter"/>
      <w:lvlText w:val="%2."/>
      <w:lvlJc w:val="left"/>
      <w:pPr>
        <w:tabs>
          <w:tab w:val="num" w:pos="1440"/>
        </w:tabs>
        <w:ind w:left="1440" w:hanging="360"/>
      </w:pPr>
      <w:rPr>
        <w:position w:val="0"/>
        <w:sz w:val="24"/>
        <w:szCs w:val="24"/>
      </w:rPr>
    </w:lvl>
    <w:lvl w:ilvl="2">
      <w:start w:val="1"/>
      <w:numFmt w:val="decimal"/>
      <w:lvlText w:val="%3."/>
      <w:lvlJc w:val="left"/>
      <w:pPr>
        <w:tabs>
          <w:tab w:val="num" w:pos="2340"/>
        </w:tabs>
        <w:ind w:left="2340" w:hanging="360"/>
      </w:pPr>
      <w:rPr>
        <w:position w:val="0"/>
        <w:sz w:val="24"/>
        <w:szCs w:val="24"/>
      </w:rPr>
    </w:lvl>
    <w:lvl w:ilvl="3">
      <w:start w:val="1"/>
      <w:numFmt w:val="decimal"/>
      <w:lvlText w:val="%4."/>
      <w:lvlJc w:val="left"/>
      <w:pPr>
        <w:tabs>
          <w:tab w:val="num" w:pos="2880"/>
        </w:tabs>
        <w:ind w:left="2880" w:hanging="360"/>
      </w:pPr>
      <w:rPr>
        <w:position w:val="0"/>
        <w:sz w:val="24"/>
        <w:szCs w:val="24"/>
      </w:rPr>
    </w:lvl>
    <w:lvl w:ilvl="4">
      <w:start w:val="1"/>
      <w:numFmt w:val="lowerLetter"/>
      <w:lvlText w:val="%5."/>
      <w:lvlJc w:val="left"/>
      <w:pPr>
        <w:tabs>
          <w:tab w:val="num" w:pos="3600"/>
        </w:tabs>
        <w:ind w:left="3600" w:hanging="360"/>
      </w:pPr>
      <w:rPr>
        <w:position w:val="0"/>
        <w:sz w:val="24"/>
        <w:szCs w:val="24"/>
      </w:rPr>
    </w:lvl>
    <w:lvl w:ilvl="5">
      <w:start w:val="1"/>
      <w:numFmt w:val="lowerRoman"/>
      <w:lvlText w:val="%6."/>
      <w:lvlJc w:val="left"/>
      <w:pPr>
        <w:tabs>
          <w:tab w:val="num" w:pos="4320"/>
        </w:tabs>
        <w:ind w:left="4320" w:hanging="296"/>
      </w:pPr>
      <w:rPr>
        <w:position w:val="0"/>
        <w:sz w:val="24"/>
        <w:szCs w:val="24"/>
      </w:rPr>
    </w:lvl>
    <w:lvl w:ilvl="6">
      <w:start w:val="1"/>
      <w:numFmt w:val="decimal"/>
      <w:lvlText w:val="%7."/>
      <w:lvlJc w:val="left"/>
      <w:pPr>
        <w:tabs>
          <w:tab w:val="num" w:pos="5040"/>
        </w:tabs>
        <w:ind w:left="5040" w:hanging="360"/>
      </w:pPr>
      <w:rPr>
        <w:position w:val="0"/>
        <w:sz w:val="24"/>
        <w:szCs w:val="24"/>
      </w:rPr>
    </w:lvl>
    <w:lvl w:ilvl="7">
      <w:start w:val="1"/>
      <w:numFmt w:val="lowerLetter"/>
      <w:lvlText w:val="%8."/>
      <w:lvlJc w:val="left"/>
      <w:pPr>
        <w:tabs>
          <w:tab w:val="num" w:pos="5760"/>
        </w:tabs>
        <w:ind w:left="5760" w:hanging="360"/>
      </w:pPr>
      <w:rPr>
        <w:position w:val="0"/>
        <w:sz w:val="24"/>
        <w:szCs w:val="24"/>
      </w:rPr>
    </w:lvl>
    <w:lvl w:ilvl="8">
      <w:start w:val="1"/>
      <w:numFmt w:val="lowerRoman"/>
      <w:lvlText w:val="%9."/>
      <w:lvlJc w:val="left"/>
      <w:pPr>
        <w:tabs>
          <w:tab w:val="num" w:pos="6480"/>
        </w:tabs>
        <w:ind w:left="6480" w:hanging="296"/>
      </w:pPr>
      <w:rPr>
        <w:position w:val="0"/>
        <w:sz w:val="24"/>
        <w:szCs w:val="24"/>
      </w:rPr>
    </w:lvl>
  </w:abstractNum>
  <w:abstractNum w:abstractNumId="31" w15:restartNumberingAfterBreak="0">
    <w:nsid w:val="5AF53644"/>
    <w:multiLevelType w:val="hybridMultilevel"/>
    <w:tmpl w:val="128E54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D2F22C3"/>
    <w:multiLevelType w:val="hybridMultilevel"/>
    <w:tmpl w:val="9416A8FC"/>
    <w:lvl w:ilvl="0" w:tplc="591AA03E">
      <w:start w:val="1"/>
      <w:numFmt w:val="decimal"/>
      <w:lvlText w:val="%1)"/>
      <w:lvlJc w:val="left"/>
      <w:pPr>
        <w:ind w:left="1020" w:hanging="360"/>
      </w:pPr>
    </w:lvl>
    <w:lvl w:ilvl="1" w:tplc="13920D8A">
      <w:start w:val="1"/>
      <w:numFmt w:val="decimal"/>
      <w:lvlText w:val="%2)"/>
      <w:lvlJc w:val="left"/>
      <w:pPr>
        <w:ind w:left="1020" w:hanging="360"/>
      </w:pPr>
    </w:lvl>
    <w:lvl w:ilvl="2" w:tplc="AC5E384C">
      <w:start w:val="1"/>
      <w:numFmt w:val="decimal"/>
      <w:lvlText w:val="%3)"/>
      <w:lvlJc w:val="left"/>
      <w:pPr>
        <w:ind w:left="1020" w:hanging="360"/>
      </w:pPr>
    </w:lvl>
    <w:lvl w:ilvl="3" w:tplc="45482EA4">
      <w:start w:val="1"/>
      <w:numFmt w:val="decimal"/>
      <w:lvlText w:val="%4)"/>
      <w:lvlJc w:val="left"/>
      <w:pPr>
        <w:ind w:left="1020" w:hanging="360"/>
      </w:pPr>
    </w:lvl>
    <w:lvl w:ilvl="4" w:tplc="CADA9606">
      <w:start w:val="1"/>
      <w:numFmt w:val="decimal"/>
      <w:lvlText w:val="%5)"/>
      <w:lvlJc w:val="left"/>
      <w:pPr>
        <w:ind w:left="1020" w:hanging="360"/>
      </w:pPr>
    </w:lvl>
    <w:lvl w:ilvl="5" w:tplc="E510527C">
      <w:start w:val="1"/>
      <w:numFmt w:val="decimal"/>
      <w:lvlText w:val="%6)"/>
      <w:lvlJc w:val="left"/>
      <w:pPr>
        <w:ind w:left="1020" w:hanging="360"/>
      </w:pPr>
    </w:lvl>
    <w:lvl w:ilvl="6" w:tplc="D8BAD0E4">
      <w:start w:val="1"/>
      <w:numFmt w:val="decimal"/>
      <w:lvlText w:val="%7)"/>
      <w:lvlJc w:val="left"/>
      <w:pPr>
        <w:ind w:left="1020" w:hanging="360"/>
      </w:pPr>
    </w:lvl>
    <w:lvl w:ilvl="7" w:tplc="50262872">
      <w:start w:val="1"/>
      <w:numFmt w:val="decimal"/>
      <w:lvlText w:val="%8)"/>
      <w:lvlJc w:val="left"/>
      <w:pPr>
        <w:ind w:left="1020" w:hanging="360"/>
      </w:pPr>
    </w:lvl>
    <w:lvl w:ilvl="8" w:tplc="00C83740">
      <w:start w:val="1"/>
      <w:numFmt w:val="decimal"/>
      <w:lvlText w:val="%9)"/>
      <w:lvlJc w:val="left"/>
      <w:pPr>
        <w:ind w:left="1020" w:hanging="360"/>
      </w:pPr>
    </w:lvl>
  </w:abstractNum>
  <w:abstractNum w:abstractNumId="33" w15:restartNumberingAfterBreak="0">
    <w:nsid w:val="601D149A"/>
    <w:multiLevelType w:val="multilevel"/>
    <w:tmpl w:val="46327986"/>
    <w:lvl w:ilvl="0">
      <w:start w:val="1"/>
      <w:numFmt w:val="decimal"/>
      <w:pStyle w:val="ESTAT-Heading1"/>
      <w:lvlText w:val="Chapter %1."/>
      <w:lvlJc w:val="left"/>
      <w:pPr>
        <w:tabs>
          <w:tab w:val="num" w:pos="2552"/>
        </w:tabs>
        <w:ind w:left="2552" w:hanging="2552"/>
      </w:pPr>
      <w:rPr>
        <w:rFonts w:ascii="Arial" w:hAnsi="Arial" w:hint="default"/>
        <w:b/>
        <w:i w:val="0"/>
      </w:rPr>
    </w:lvl>
    <w:lvl w:ilvl="1">
      <w:start w:val="1"/>
      <w:numFmt w:val="decimal"/>
      <w:pStyle w:val="ESTAT-Heading2"/>
      <w:lvlText w:val="%1.%2"/>
      <w:lvlJc w:val="left"/>
      <w:pPr>
        <w:tabs>
          <w:tab w:val="num" w:pos="851"/>
        </w:tabs>
        <w:ind w:left="851" w:hanging="851"/>
      </w:pPr>
      <w:rPr>
        <w:rFonts w:hint="default"/>
      </w:rPr>
    </w:lvl>
    <w:lvl w:ilvl="2">
      <w:start w:val="1"/>
      <w:numFmt w:val="decimal"/>
      <w:pStyle w:val="ESTAT-Heading3"/>
      <w:isLgl/>
      <w:suff w:val="space"/>
      <w:lvlText w:val="%1.%2.%3."/>
      <w:lvlJc w:val="left"/>
      <w:pPr>
        <w:ind w:left="890" w:hanging="89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12B0467"/>
    <w:multiLevelType w:val="hybridMultilevel"/>
    <w:tmpl w:val="9BCEBE06"/>
    <w:lvl w:ilvl="0" w:tplc="0846D4AE">
      <w:start w:val="1"/>
      <w:numFmt w:val="decimal"/>
      <w:pStyle w:val="Paragraph"/>
      <w:lvlText w:val="%1."/>
      <w:lvlJc w:val="left"/>
      <w:pPr>
        <w:ind w:left="720" w:hanging="360"/>
      </w:pPr>
    </w:lvl>
    <w:lvl w:ilvl="1" w:tplc="08090019">
      <w:start w:val="1"/>
      <w:numFmt w:val="lowerLetter"/>
      <w:lvlText w:val="%2."/>
      <w:lvlJc w:val="left"/>
      <w:pPr>
        <w:ind w:left="1353"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3CC5D6A"/>
    <w:multiLevelType w:val="multilevel"/>
    <w:tmpl w:val="5A6EBC3A"/>
    <w:styleLink w:val="CurrentList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9D00C6A"/>
    <w:multiLevelType w:val="multilevel"/>
    <w:tmpl w:val="D958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2336F7"/>
    <w:multiLevelType w:val="multilevel"/>
    <w:tmpl w:val="AC5A9F3C"/>
    <w:lvl w:ilvl="0">
      <w:start w:val="49"/>
      <w:numFmt w:val="decimal"/>
      <w:lvlText w:val="13.%1"/>
      <w:lvlJc w:val="left"/>
      <w:pPr>
        <w:ind w:left="709" w:hanging="709"/>
      </w:pPr>
      <w:rPr>
        <w:rFonts w:ascii="Calibri" w:hAnsi="Calibri" w:cs="Calibri" w:hint="default"/>
      </w:rPr>
    </w:lvl>
    <w:lvl w:ilvl="1">
      <w:start w:val="1"/>
      <w:numFmt w:val="decimal"/>
      <w:lvlText w:val="%1.%2."/>
      <w:lvlJc w:val="left"/>
      <w:pPr>
        <w:ind w:left="1066" w:hanging="709"/>
      </w:pPr>
      <w:rPr>
        <w:rFonts w:hint="default"/>
      </w:rPr>
    </w:lvl>
    <w:lvl w:ilvl="2">
      <w:start w:val="1"/>
      <w:numFmt w:val="decimal"/>
      <w:lvlText w:val="%1.%2.%3."/>
      <w:lvlJc w:val="left"/>
      <w:pPr>
        <w:ind w:left="1423" w:hanging="709"/>
      </w:pPr>
      <w:rPr>
        <w:rFonts w:hint="default"/>
      </w:rPr>
    </w:lvl>
    <w:lvl w:ilvl="3">
      <w:start w:val="1"/>
      <w:numFmt w:val="decimal"/>
      <w:lvlText w:val="%1.%2.%3.%4."/>
      <w:lvlJc w:val="left"/>
      <w:pPr>
        <w:ind w:left="1780" w:hanging="709"/>
      </w:pPr>
      <w:rPr>
        <w:rFonts w:hint="default"/>
      </w:rPr>
    </w:lvl>
    <w:lvl w:ilvl="4">
      <w:start w:val="1"/>
      <w:numFmt w:val="decimal"/>
      <w:lvlText w:val="%1.%2.%3.%4.%5."/>
      <w:lvlJc w:val="left"/>
      <w:pPr>
        <w:ind w:left="2137" w:hanging="709"/>
      </w:pPr>
      <w:rPr>
        <w:rFonts w:hint="default"/>
      </w:rPr>
    </w:lvl>
    <w:lvl w:ilvl="5">
      <w:start w:val="1"/>
      <w:numFmt w:val="decimal"/>
      <w:lvlText w:val="%1.%2.%3.%4.%5.%6."/>
      <w:lvlJc w:val="left"/>
      <w:pPr>
        <w:ind w:left="2494" w:hanging="709"/>
      </w:pPr>
      <w:rPr>
        <w:rFonts w:hint="default"/>
      </w:rPr>
    </w:lvl>
    <w:lvl w:ilvl="6">
      <w:start w:val="1"/>
      <w:numFmt w:val="decimal"/>
      <w:lvlText w:val="%1.%2.%3.%4.%5.%6.%7."/>
      <w:lvlJc w:val="left"/>
      <w:pPr>
        <w:ind w:left="2851" w:hanging="709"/>
      </w:pPr>
      <w:rPr>
        <w:rFonts w:hint="default"/>
      </w:rPr>
    </w:lvl>
    <w:lvl w:ilvl="7">
      <w:start w:val="1"/>
      <w:numFmt w:val="decimal"/>
      <w:lvlText w:val="%1.%2.%3.%4.%5.%6.%7.%8."/>
      <w:lvlJc w:val="left"/>
      <w:pPr>
        <w:ind w:left="3208" w:hanging="709"/>
      </w:pPr>
      <w:rPr>
        <w:rFonts w:hint="default"/>
      </w:rPr>
    </w:lvl>
    <w:lvl w:ilvl="8">
      <w:start w:val="1"/>
      <w:numFmt w:val="decimal"/>
      <w:lvlText w:val="%1.%2.%3.%4.%5.%6.%7.%8.%9."/>
      <w:lvlJc w:val="left"/>
      <w:pPr>
        <w:ind w:left="3565" w:hanging="709"/>
      </w:pPr>
      <w:rPr>
        <w:rFonts w:hint="default"/>
      </w:rPr>
    </w:lvl>
  </w:abstractNum>
  <w:abstractNum w:abstractNumId="38" w15:restartNumberingAfterBreak="0">
    <w:nsid w:val="6F4901EA"/>
    <w:multiLevelType w:val="multilevel"/>
    <w:tmpl w:val="D5B6497A"/>
    <w:styleLink w:val="CurrentList14"/>
    <w:lvl w:ilvl="0">
      <w:start w:val="1"/>
      <w:numFmt w:val="lowerLetter"/>
      <w:lvlText w:val="%1."/>
      <w:lvlJc w:val="left"/>
      <w:pPr>
        <w:ind w:left="1077" w:hanging="360"/>
      </w:pPr>
    </w:lvl>
    <w:lvl w:ilvl="1">
      <w:start w:val="1"/>
      <w:numFmt w:val="lowerLetter"/>
      <w:lvlText w:val="%2."/>
      <w:lvlJc w:val="left"/>
      <w:pPr>
        <w:ind w:left="1797" w:hanging="360"/>
      </w:pPr>
    </w:lvl>
    <w:lvl w:ilvl="2">
      <w:start w:val="1"/>
      <w:numFmt w:val="lowerRoman"/>
      <w:lvlText w:val="%3."/>
      <w:lvlJc w:val="right"/>
      <w:pPr>
        <w:ind w:left="2517" w:hanging="180"/>
      </w:pPr>
    </w:lvl>
    <w:lvl w:ilvl="3">
      <w:start w:val="1"/>
      <w:numFmt w:val="decimal"/>
      <w:lvlText w:val="%4."/>
      <w:lvlJc w:val="left"/>
      <w:pPr>
        <w:ind w:left="3237" w:hanging="360"/>
      </w:pPr>
    </w:lvl>
    <w:lvl w:ilvl="4">
      <w:start w:val="1"/>
      <w:numFmt w:val="lowerLetter"/>
      <w:lvlText w:val="%5."/>
      <w:lvlJc w:val="left"/>
      <w:pPr>
        <w:ind w:left="3957" w:hanging="360"/>
      </w:pPr>
    </w:lvl>
    <w:lvl w:ilvl="5">
      <w:start w:val="1"/>
      <w:numFmt w:val="lowerRoman"/>
      <w:lvlText w:val="%6."/>
      <w:lvlJc w:val="right"/>
      <w:pPr>
        <w:ind w:left="4677" w:hanging="180"/>
      </w:pPr>
    </w:lvl>
    <w:lvl w:ilvl="6">
      <w:start w:val="1"/>
      <w:numFmt w:val="decimal"/>
      <w:lvlText w:val="%7."/>
      <w:lvlJc w:val="left"/>
      <w:pPr>
        <w:ind w:left="5397" w:hanging="360"/>
      </w:pPr>
    </w:lvl>
    <w:lvl w:ilvl="7">
      <w:start w:val="1"/>
      <w:numFmt w:val="lowerLetter"/>
      <w:lvlText w:val="%8."/>
      <w:lvlJc w:val="left"/>
      <w:pPr>
        <w:ind w:left="6117" w:hanging="360"/>
      </w:pPr>
    </w:lvl>
    <w:lvl w:ilvl="8">
      <w:start w:val="1"/>
      <w:numFmt w:val="lowerRoman"/>
      <w:lvlText w:val="%9."/>
      <w:lvlJc w:val="right"/>
      <w:pPr>
        <w:ind w:left="6837" w:hanging="180"/>
      </w:pPr>
    </w:lvl>
  </w:abstractNum>
  <w:abstractNum w:abstractNumId="39" w15:restartNumberingAfterBreak="0">
    <w:nsid w:val="6FEC75E8"/>
    <w:multiLevelType w:val="multilevel"/>
    <w:tmpl w:val="85C66A2E"/>
    <w:lvl w:ilvl="0">
      <w:start w:val="12"/>
      <w:numFmt w:val="decimal"/>
      <w:lvlText w:val="A13.%1"/>
      <w:lvlJc w:val="left"/>
      <w:pPr>
        <w:ind w:left="709" w:hanging="709"/>
      </w:pPr>
      <w:rPr>
        <w:rFonts w:ascii="Calibri" w:hAnsi="Calibri" w:cs="Calibri" w:hint="default"/>
      </w:rPr>
    </w:lvl>
    <w:lvl w:ilvl="1">
      <w:start w:val="1"/>
      <w:numFmt w:val="decimal"/>
      <w:lvlText w:val="%1.%2."/>
      <w:lvlJc w:val="left"/>
      <w:pPr>
        <w:ind w:left="1066" w:hanging="709"/>
      </w:pPr>
      <w:rPr>
        <w:rFonts w:hint="default"/>
      </w:rPr>
    </w:lvl>
    <w:lvl w:ilvl="2">
      <w:start w:val="1"/>
      <w:numFmt w:val="decimal"/>
      <w:lvlText w:val="%1.%2.%3."/>
      <w:lvlJc w:val="left"/>
      <w:pPr>
        <w:ind w:left="1423" w:hanging="709"/>
      </w:pPr>
      <w:rPr>
        <w:rFonts w:hint="default"/>
      </w:rPr>
    </w:lvl>
    <w:lvl w:ilvl="3">
      <w:start w:val="1"/>
      <w:numFmt w:val="decimal"/>
      <w:lvlText w:val="%1.%2.%3.%4."/>
      <w:lvlJc w:val="left"/>
      <w:pPr>
        <w:ind w:left="1780" w:hanging="709"/>
      </w:pPr>
      <w:rPr>
        <w:rFonts w:hint="default"/>
      </w:rPr>
    </w:lvl>
    <w:lvl w:ilvl="4">
      <w:start w:val="1"/>
      <w:numFmt w:val="decimal"/>
      <w:lvlText w:val="%1.%2.%3.%4.%5."/>
      <w:lvlJc w:val="left"/>
      <w:pPr>
        <w:ind w:left="2137" w:hanging="709"/>
      </w:pPr>
      <w:rPr>
        <w:rFonts w:hint="default"/>
      </w:rPr>
    </w:lvl>
    <w:lvl w:ilvl="5">
      <w:start w:val="1"/>
      <w:numFmt w:val="decimal"/>
      <w:lvlText w:val="%1.%2.%3.%4.%5.%6."/>
      <w:lvlJc w:val="left"/>
      <w:pPr>
        <w:ind w:left="2494" w:hanging="709"/>
      </w:pPr>
      <w:rPr>
        <w:rFonts w:hint="default"/>
      </w:rPr>
    </w:lvl>
    <w:lvl w:ilvl="6">
      <w:start w:val="1"/>
      <w:numFmt w:val="decimal"/>
      <w:lvlText w:val="%1.%2.%3.%4.%5.%6.%7."/>
      <w:lvlJc w:val="left"/>
      <w:pPr>
        <w:ind w:left="2851" w:hanging="709"/>
      </w:pPr>
      <w:rPr>
        <w:rFonts w:hint="default"/>
      </w:rPr>
    </w:lvl>
    <w:lvl w:ilvl="7">
      <w:start w:val="1"/>
      <w:numFmt w:val="decimal"/>
      <w:lvlText w:val="%1.%2.%3.%4.%5.%6.%7.%8."/>
      <w:lvlJc w:val="left"/>
      <w:pPr>
        <w:ind w:left="3208" w:hanging="709"/>
      </w:pPr>
      <w:rPr>
        <w:rFonts w:hint="default"/>
      </w:rPr>
    </w:lvl>
    <w:lvl w:ilvl="8">
      <w:start w:val="1"/>
      <w:numFmt w:val="decimal"/>
      <w:lvlText w:val="%1.%2.%3.%4.%5.%6.%7.%8.%9."/>
      <w:lvlJc w:val="left"/>
      <w:pPr>
        <w:ind w:left="3565" w:hanging="709"/>
      </w:pPr>
      <w:rPr>
        <w:rFonts w:hint="default"/>
      </w:rPr>
    </w:lvl>
  </w:abstractNum>
  <w:abstractNum w:abstractNumId="40" w15:restartNumberingAfterBreak="0">
    <w:nsid w:val="74FB00B9"/>
    <w:multiLevelType w:val="multilevel"/>
    <w:tmpl w:val="2EE4404A"/>
    <w:styleLink w:val="CurrentList8"/>
    <w:lvl w:ilvl="0">
      <w:start w:val="17"/>
      <w:numFmt w:val="decimal"/>
      <w:lvlText w:val="2.%1"/>
      <w:lvlJc w:val="left"/>
      <w:pPr>
        <w:ind w:left="1440" w:hanging="153"/>
      </w:pPr>
      <w:rPr>
        <w:rFonts w:cs="Times New Roman" w:hint="default"/>
      </w:rPr>
    </w:lvl>
    <w:lvl w:ilvl="1">
      <w:start w:val="1"/>
      <w:numFmt w:val="lowerLetter"/>
      <w:lvlText w:val="%2."/>
      <w:lvlJc w:val="left"/>
      <w:pPr>
        <w:ind w:left="2367" w:hanging="360"/>
      </w:pPr>
      <w:rPr>
        <w:rFonts w:cs="Times New Roman"/>
      </w:rPr>
    </w:lvl>
    <w:lvl w:ilvl="2">
      <w:start w:val="1"/>
      <w:numFmt w:val="lowerRoman"/>
      <w:lvlText w:val="%3."/>
      <w:lvlJc w:val="right"/>
      <w:pPr>
        <w:ind w:left="3087" w:hanging="180"/>
      </w:pPr>
      <w:rPr>
        <w:rFonts w:cs="Times New Roman"/>
      </w:rPr>
    </w:lvl>
    <w:lvl w:ilvl="3">
      <w:start w:val="1"/>
      <w:numFmt w:val="decimal"/>
      <w:lvlText w:val="%4."/>
      <w:lvlJc w:val="left"/>
      <w:pPr>
        <w:ind w:left="3807" w:hanging="360"/>
      </w:pPr>
      <w:rPr>
        <w:rFonts w:cs="Times New Roman"/>
      </w:rPr>
    </w:lvl>
    <w:lvl w:ilvl="4">
      <w:start w:val="1"/>
      <w:numFmt w:val="lowerLetter"/>
      <w:lvlText w:val="%5."/>
      <w:lvlJc w:val="left"/>
      <w:pPr>
        <w:ind w:left="4527" w:hanging="360"/>
      </w:pPr>
      <w:rPr>
        <w:rFonts w:cs="Times New Roman"/>
      </w:rPr>
    </w:lvl>
    <w:lvl w:ilvl="5">
      <w:start w:val="1"/>
      <w:numFmt w:val="lowerRoman"/>
      <w:lvlText w:val="%6."/>
      <w:lvlJc w:val="right"/>
      <w:pPr>
        <w:ind w:left="5247" w:hanging="180"/>
      </w:pPr>
      <w:rPr>
        <w:rFonts w:cs="Times New Roman"/>
      </w:rPr>
    </w:lvl>
    <w:lvl w:ilvl="6">
      <w:start w:val="1"/>
      <w:numFmt w:val="decimal"/>
      <w:lvlText w:val="%7."/>
      <w:lvlJc w:val="left"/>
      <w:pPr>
        <w:ind w:left="5967" w:hanging="360"/>
      </w:pPr>
      <w:rPr>
        <w:rFonts w:cs="Times New Roman"/>
      </w:rPr>
    </w:lvl>
    <w:lvl w:ilvl="7">
      <w:start w:val="1"/>
      <w:numFmt w:val="lowerLetter"/>
      <w:lvlText w:val="%8."/>
      <w:lvlJc w:val="left"/>
      <w:pPr>
        <w:ind w:left="6687" w:hanging="360"/>
      </w:pPr>
      <w:rPr>
        <w:rFonts w:cs="Times New Roman"/>
      </w:rPr>
    </w:lvl>
    <w:lvl w:ilvl="8">
      <w:start w:val="1"/>
      <w:numFmt w:val="lowerRoman"/>
      <w:lvlText w:val="%9."/>
      <w:lvlJc w:val="right"/>
      <w:pPr>
        <w:ind w:left="7407" w:hanging="180"/>
      </w:pPr>
      <w:rPr>
        <w:rFonts w:cs="Times New Roman"/>
      </w:rPr>
    </w:lvl>
  </w:abstractNum>
  <w:abstractNum w:abstractNumId="41" w15:restartNumberingAfterBreak="0">
    <w:nsid w:val="75DD78BF"/>
    <w:multiLevelType w:val="hybridMultilevel"/>
    <w:tmpl w:val="23003F24"/>
    <w:lvl w:ilvl="0" w:tplc="DCDA1BE4">
      <w:start w:val="16"/>
      <w:numFmt w:val="decimal"/>
      <w:pStyle w:val="BodytextCh5"/>
      <w:lvlText w:val="5.%1"/>
      <w:lvlJc w:val="left"/>
      <w:pPr>
        <w:ind w:left="1440" w:hanging="153"/>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0E53F7"/>
    <w:multiLevelType w:val="hybridMultilevel"/>
    <w:tmpl w:val="F904BE6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1961305270">
    <w:abstractNumId w:val="29"/>
  </w:num>
  <w:num w:numId="2" w16cid:durableId="1260601256">
    <w:abstractNumId w:val="30"/>
  </w:num>
  <w:num w:numId="3" w16cid:durableId="650602963">
    <w:abstractNumId w:val="3"/>
  </w:num>
  <w:num w:numId="4" w16cid:durableId="1351299427">
    <w:abstractNumId w:val="16"/>
  </w:num>
  <w:num w:numId="5" w16cid:durableId="171267345">
    <w:abstractNumId w:val="8"/>
  </w:num>
  <w:num w:numId="6" w16cid:durableId="491219329">
    <w:abstractNumId w:val="13"/>
  </w:num>
  <w:num w:numId="7" w16cid:durableId="1688797203">
    <w:abstractNumId w:val="18"/>
  </w:num>
  <w:num w:numId="8" w16cid:durableId="1765224790">
    <w:abstractNumId w:val="34"/>
  </w:num>
  <w:num w:numId="9" w16cid:durableId="172843258">
    <w:abstractNumId w:val="23"/>
  </w:num>
  <w:num w:numId="10" w16cid:durableId="2000234938">
    <w:abstractNumId w:val="20"/>
  </w:num>
  <w:num w:numId="11" w16cid:durableId="767193167">
    <w:abstractNumId w:val="26"/>
  </w:num>
  <w:num w:numId="12" w16cid:durableId="2117168980">
    <w:abstractNumId w:val="1"/>
  </w:num>
  <w:num w:numId="13" w16cid:durableId="86272812">
    <w:abstractNumId w:val="14"/>
  </w:num>
  <w:num w:numId="14" w16cid:durableId="1522236222">
    <w:abstractNumId w:val="40"/>
  </w:num>
  <w:num w:numId="15" w16cid:durableId="1778789989">
    <w:abstractNumId w:val="7"/>
  </w:num>
  <w:num w:numId="16" w16cid:durableId="604731779">
    <w:abstractNumId w:val="41"/>
  </w:num>
  <w:num w:numId="17" w16cid:durableId="222526412">
    <w:abstractNumId w:val="22"/>
  </w:num>
  <w:num w:numId="18" w16cid:durableId="209852275">
    <w:abstractNumId w:val="5"/>
  </w:num>
  <w:num w:numId="19" w16cid:durableId="1625232337">
    <w:abstractNumId w:val="0"/>
  </w:num>
  <w:num w:numId="20" w16cid:durableId="1380088459">
    <w:abstractNumId w:val="21"/>
  </w:num>
  <w:num w:numId="21" w16cid:durableId="2104375969">
    <w:abstractNumId w:val="28"/>
  </w:num>
  <w:num w:numId="22" w16cid:durableId="1007369121">
    <w:abstractNumId w:val="42"/>
  </w:num>
  <w:num w:numId="23" w16cid:durableId="771974387">
    <w:abstractNumId w:val="31"/>
  </w:num>
  <w:num w:numId="24" w16cid:durableId="1953198347">
    <w:abstractNumId w:val="39"/>
  </w:num>
  <w:num w:numId="25" w16cid:durableId="101535826">
    <w:abstractNumId w:val="9"/>
  </w:num>
  <w:num w:numId="26" w16cid:durableId="1097602890">
    <w:abstractNumId w:val="37"/>
  </w:num>
  <w:num w:numId="27" w16cid:durableId="1090471560">
    <w:abstractNumId w:val="10"/>
  </w:num>
  <w:num w:numId="28" w16cid:durableId="357044915">
    <w:abstractNumId w:val="11"/>
  </w:num>
  <w:num w:numId="29" w16cid:durableId="94206393">
    <w:abstractNumId w:val="6"/>
  </w:num>
  <w:num w:numId="30" w16cid:durableId="735669896">
    <w:abstractNumId w:val="38"/>
  </w:num>
  <w:num w:numId="31" w16cid:durableId="877402159">
    <w:abstractNumId w:val="2"/>
  </w:num>
  <w:num w:numId="32" w16cid:durableId="782504455">
    <w:abstractNumId w:val="4"/>
  </w:num>
  <w:num w:numId="33" w16cid:durableId="311444504">
    <w:abstractNumId w:val="15"/>
  </w:num>
  <w:num w:numId="34" w16cid:durableId="1833449917">
    <w:abstractNumId w:val="24"/>
  </w:num>
  <w:num w:numId="35" w16cid:durableId="1764035628">
    <w:abstractNumId w:val="25"/>
  </w:num>
  <w:num w:numId="36" w16cid:durableId="1660960492">
    <w:abstractNumId w:val="35"/>
  </w:num>
  <w:num w:numId="37" w16cid:durableId="655959174">
    <w:abstractNumId w:val="19"/>
  </w:num>
  <w:num w:numId="38" w16cid:durableId="210843631">
    <w:abstractNumId w:val="33"/>
  </w:num>
  <w:num w:numId="39" w16cid:durableId="1148791355">
    <w:abstractNumId w:val="27"/>
  </w:num>
  <w:num w:numId="40" w16cid:durableId="237522986">
    <w:abstractNumId w:val="17"/>
  </w:num>
  <w:num w:numId="41" w16cid:durableId="1844733662">
    <w:abstractNumId w:val="32"/>
  </w:num>
  <w:num w:numId="42" w16cid:durableId="618148629">
    <w:abstractNumId w:val="12"/>
  </w:num>
  <w:num w:numId="43" w16cid:durableId="720593723">
    <w:abstractNumId w:val="3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90D"/>
    <w:rsid w:val="00000CDD"/>
    <w:rsid w:val="00000D75"/>
    <w:rsid w:val="0000112F"/>
    <w:rsid w:val="00001D2E"/>
    <w:rsid w:val="00002578"/>
    <w:rsid w:val="00002C1D"/>
    <w:rsid w:val="000033FB"/>
    <w:rsid w:val="00003C27"/>
    <w:rsid w:val="0000431B"/>
    <w:rsid w:val="000045EC"/>
    <w:rsid w:val="000048A5"/>
    <w:rsid w:val="00004A1D"/>
    <w:rsid w:val="00005B31"/>
    <w:rsid w:val="00005CC3"/>
    <w:rsid w:val="000063BB"/>
    <w:rsid w:val="00006933"/>
    <w:rsid w:val="00006995"/>
    <w:rsid w:val="00006AA0"/>
    <w:rsid w:val="00006C51"/>
    <w:rsid w:val="00010345"/>
    <w:rsid w:val="000109BD"/>
    <w:rsid w:val="00011106"/>
    <w:rsid w:val="0001121E"/>
    <w:rsid w:val="000114E6"/>
    <w:rsid w:val="000115AC"/>
    <w:rsid w:val="000122EF"/>
    <w:rsid w:val="0001231E"/>
    <w:rsid w:val="00012FAE"/>
    <w:rsid w:val="00014329"/>
    <w:rsid w:val="00014369"/>
    <w:rsid w:val="000143F9"/>
    <w:rsid w:val="00014C80"/>
    <w:rsid w:val="00014C8F"/>
    <w:rsid w:val="0001519A"/>
    <w:rsid w:val="000152D2"/>
    <w:rsid w:val="000153C0"/>
    <w:rsid w:val="00015AE0"/>
    <w:rsid w:val="00015F50"/>
    <w:rsid w:val="000162E3"/>
    <w:rsid w:val="00016421"/>
    <w:rsid w:val="00016C1F"/>
    <w:rsid w:val="000178E2"/>
    <w:rsid w:val="000210D9"/>
    <w:rsid w:val="00021370"/>
    <w:rsid w:val="000216E8"/>
    <w:rsid w:val="0002191E"/>
    <w:rsid w:val="0002197B"/>
    <w:rsid w:val="00021D48"/>
    <w:rsid w:val="000220CC"/>
    <w:rsid w:val="00022AE7"/>
    <w:rsid w:val="00022B6F"/>
    <w:rsid w:val="000236BF"/>
    <w:rsid w:val="00023ADA"/>
    <w:rsid w:val="00024783"/>
    <w:rsid w:val="00024851"/>
    <w:rsid w:val="0002577C"/>
    <w:rsid w:val="00025B8B"/>
    <w:rsid w:val="000267A4"/>
    <w:rsid w:val="00026B5F"/>
    <w:rsid w:val="00026BEA"/>
    <w:rsid w:val="000270D7"/>
    <w:rsid w:val="000273BC"/>
    <w:rsid w:val="00027A98"/>
    <w:rsid w:val="000303C0"/>
    <w:rsid w:val="00030448"/>
    <w:rsid w:val="000304ED"/>
    <w:rsid w:val="0003056D"/>
    <w:rsid w:val="00030A5D"/>
    <w:rsid w:val="000323CE"/>
    <w:rsid w:val="000334B0"/>
    <w:rsid w:val="000337BC"/>
    <w:rsid w:val="00033B35"/>
    <w:rsid w:val="00033FD2"/>
    <w:rsid w:val="000340CE"/>
    <w:rsid w:val="000342B2"/>
    <w:rsid w:val="000345E6"/>
    <w:rsid w:val="0003651F"/>
    <w:rsid w:val="00036B6B"/>
    <w:rsid w:val="00037273"/>
    <w:rsid w:val="00037ACA"/>
    <w:rsid w:val="0004006A"/>
    <w:rsid w:val="00040367"/>
    <w:rsid w:val="000406F5"/>
    <w:rsid w:val="0004161D"/>
    <w:rsid w:val="000419B5"/>
    <w:rsid w:val="00041A50"/>
    <w:rsid w:val="00042127"/>
    <w:rsid w:val="00042C9E"/>
    <w:rsid w:val="0004389E"/>
    <w:rsid w:val="00043EE2"/>
    <w:rsid w:val="00044482"/>
    <w:rsid w:val="00044DFA"/>
    <w:rsid w:val="00045582"/>
    <w:rsid w:val="00046943"/>
    <w:rsid w:val="00046CC8"/>
    <w:rsid w:val="00046F1A"/>
    <w:rsid w:val="00047154"/>
    <w:rsid w:val="00047C46"/>
    <w:rsid w:val="000502CD"/>
    <w:rsid w:val="00052287"/>
    <w:rsid w:val="00053749"/>
    <w:rsid w:val="00053B33"/>
    <w:rsid w:val="00055A8E"/>
    <w:rsid w:val="00055F9B"/>
    <w:rsid w:val="0005653F"/>
    <w:rsid w:val="000567ED"/>
    <w:rsid w:val="0005733D"/>
    <w:rsid w:val="000573C6"/>
    <w:rsid w:val="00057950"/>
    <w:rsid w:val="00060B1A"/>
    <w:rsid w:val="00061224"/>
    <w:rsid w:val="00061BD5"/>
    <w:rsid w:val="00062F8E"/>
    <w:rsid w:val="00063295"/>
    <w:rsid w:val="00063ED8"/>
    <w:rsid w:val="00064722"/>
    <w:rsid w:val="000654FC"/>
    <w:rsid w:val="00065624"/>
    <w:rsid w:val="00065D08"/>
    <w:rsid w:val="00066F88"/>
    <w:rsid w:val="00067080"/>
    <w:rsid w:val="00067172"/>
    <w:rsid w:val="00067852"/>
    <w:rsid w:val="00067E14"/>
    <w:rsid w:val="00067ED8"/>
    <w:rsid w:val="00067FB7"/>
    <w:rsid w:val="0007006A"/>
    <w:rsid w:val="000701AE"/>
    <w:rsid w:val="00070D33"/>
    <w:rsid w:val="0007107F"/>
    <w:rsid w:val="00071E9D"/>
    <w:rsid w:val="00071FB4"/>
    <w:rsid w:val="00072850"/>
    <w:rsid w:val="00072E63"/>
    <w:rsid w:val="00072F6F"/>
    <w:rsid w:val="00073613"/>
    <w:rsid w:val="00073813"/>
    <w:rsid w:val="00073814"/>
    <w:rsid w:val="00073B12"/>
    <w:rsid w:val="00076781"/>
    <w:rsid w:val="0007686C"/>
    <w:rsid w:val="00076AD4"/>
    <w:rsid w:val="00076E71"/>
    <w:rsid w:val="000776ED"/>
    <w:rsid w:val="00077AB9"/>
    <w:rsid w:val="000803A0"/>
    <w:rsid w:val="000812A7"/>
    <w:rsid w:val="00081614"/>
    <w:rsid w:val="00081A4E"/>
    <w:rsid w:val="00081F1F"/>
    <w:rsid w:val="000829BC"/>
    <w:rsid w:val="00082A49"/>
    <w:rsid w:val="00082E9E"/>
    <w:rsid w:val="00084597"/>
    <w:rsid w:val="0008492D"/>
    <w:rsid w:val="00084BB4"/>
    <w:rsid w:val="000857C9"/>
    <w:rsid w:val="0008597A"/>
    <w:rsid w:val="00086A82"/>
    <w:rsid w:val="00086ECF"/>
    <w:rsid w:val="00087D04"/>
    <w:rsid w:val="00090F35"/>
    <w:rsid w:val="000917DC"/>
    <w:rsid w:val="00092088"/>
    <w:rsid w:val="000921BE"/>
    <w:rsid w:val="00092AEB"/>
    <w:rsid w:val="00092BDC"/>
    <w:rsid w:val="000939E5"/>
    <w:rsid w:val="000940E2"/>
    <w:rsid w:val="00094168"/>
    <w:rsid w:val="000948F7"/>
    <w:rsid w:val="000967A8"/>
    <w:rsid w:val="000969A8"/>
    <w:rsid w:val="00096C89"/>
    <w:rsid w:val="00096F69"/>
    <w:rsid w:val="000A0992"/>
    <w:rsid w:val="000A1AB8"/>
    <w:rsid w:val="000A1B5D"/>
    <w:rsid w:val="000A2D80"/>
    <w:rsid w:val="000A330D"/>
    <w:rsid w:val="000A3326"/>
    <w:rsid w:val="000A3906"/>
    <w:rsid w:val="000A4119"/>
    <w:rsid w:val="000A5030"/>
    <w:rsid w:val="000A583E"/>
    <w:rsid w:val="000A5D8F"/>
    <w:rsid w:val="000A6322"/>
    <w:rsid w:val="000A67B7"/>
    <w:rsid w:val="000A6EF9"/>
    <w:rsid w:val="000A723C"/>
    <w:rsid w:val="000B0467"/>
    <w:rsid w:val="000B0945"/>
    <w:rsid w:val="000B0ADD"/>
    <w:rsid w:val="000B1E8C"/>
    <w:rsid w:val="000B22C8"/>
    <w:rsid w:val="000B2FFA"/>
    <w:rsid w:val="000B35F1"/>
    <w:rsid w:val="000B4407"/>
    <w:rsid w:val="000B4DCA"/>
    <w:rsid w:val="000B4DD2"/>
    <w:rsid w:val="000B534D"/>
    <w:rsid w:val="000B56F3"/>
    <w:rsid w:val="000B5E7E"/>
    <w:rsid w:val="000B6071"/>
    <w:rsid w:val="000B6DBD"/>
    <w:rsid w:val="000B6F6D"/>
    <w:rsid w:val="000B7690"/>
    <w:rsid w:val="000C0251"/>
    <w:rsid w:val="000C1ABF"/>
    <w:rsid w:val="000C2D58"/>
    <w:rsid w:val="000C3172"/>
    <w:rsid w:val="000C3196"/>
    <w:rsid w:val="000C32C2"/>
    <w:rsid w:val="000C4517"/>
    <w:rsid w:val="000C53F8"/>
    <w:rsid w:val="000C56BF"/>
    <w:rsid w:val="000C5A1A"/>
    <w:rsid w:val="000C5F54"/>
    <w:rsid w:val="000C6024"/>
    <w:rsid w:val="000C65B3"/>
    <w:rsid w:val="000C705C"/>
    <w:rsid w:val="000D0856"/>
    <w:rsid w:val="000D2214"/>
    <w:rsid w:val="000D23EE"/>
    <w:rsid w:val="000D2508"/>
    <w:rsid w:val="000D2664"/>
    <w:rsid w:val="000D3382"/>
    <w:rsid w:val="000D3FDA"/>
    <w:rsid w:val="000D4155"/>
    <w:rsid w:val="000D4235"/>
    <w:rsid w:val="000D588C"/>
    <w:rsid w:val="000D60E8"/>
    <w:rsid w:val="000D638D"/>
    <w:rsid w:val="000D68A1"/>
    <w:rsid w:val="000D6C23"/>
    <w:rsid w:val="000D6E37"/>
    <w:rsid w:val="000D79B5"/>
    <w:rsid w:val="000D7B87"/>
    <w:rsid w:val="000E0051"/>
    <w:rsid w:val="000E007D"/>
    <w:rsid w:val="000E0460"/>
    <w:rsid w:val="000E16AB"/>
    <w:rsid w:val="000E1995"/>
    <w:rsid w:val="000E1FFC"/>
    <w:rsid w:val="000E227B"/>
    <w:rsid w:val="000E23CA"/>
    <w:rsid w:val="000E31CD"/>
    <w:rsid w:val="000E40DF"/>
    <w:rsid w:val="000E4785"/>
    <w:rsid w:val="000E5C32"/>
    <w:rsid w:val="000E5C63"/>
    <w:rsid w:val="000E63C2"/>
    <w:rsid w:val="000E648D"/>
    <w:rsid w:val="000E681B"/>
    <w:rsid w:val="000E6964"/>
    <w:rsid w:val="000E6EB1"/>
    <w:rsid w:val="000E74CA"/>
    <w:rsid w:val="000E755D"/>
    <w:rsid w:val="000E7D28"/>
    <w:rsid w:val="000F0322"/>
    <w:rsid w:val="000F13A0"/>
    <w:rsid w:val="000F2EA5"/>
    <w:rsid w:val="000F2EB9"/>
    <w:rsid w:val="000F3008"/>
    <w:rsid w:val="000F3B30"/>
    <w:rsid w:val="000F41CF"/>
    <w:rsid w:val="000F45EF"/>
    <w:rsid w:val="000F4735"/>
    <w:rsid w:val="000F510A"/>
    <w:rsid w:val="000F52EA"/>
    <w:rsid w:val="000F5BC1"/>
    <w:rsid w:val="000F5D77"/>
    <w:rsid w:val="000F61E0"/>
    <w:rsid w:val="000F6600"/>
    <w:rsid w:val="001002DA"/>
    <w:rsid w:val="001003D1"/>
    <w:rsid w:val="00101B29"/>
    <w:rsid w:val="0010286D"/>
    <w:rsid w:val="001028A3"/>
    <w:rsid w:val="001031AC"/>
    <w:rsid w:val="001033FB"/>
    <w:rsid w:val="001035D4"/>
    <w:rsid w:val="001035F2"/>
    <w:rsid w:val="001037DD"/>
    <w:rsid w:val="00103873"/>
    <w:rsid w:val="001039C7"/>
    <w:rsid w:val="00104909"/>
    <w:rsid w:val="00106E97"/>
    <w:rsid w:val="00107333"/>
    <w:rsid w:val="00107418"/>
    <w:rsid w:val="00107836"/>
    <w:rsid w:val="00107FF7"/>
    <w:rsid w:val="001101A0"/>
    <w:rsid w:val="00110772"/>
    <w:rsid w:val="00110E52"/>
    <w:rsid w:val="001114E6"/>
    <w:rsid w:val="00111575"/>
    <w:rsid w:val="00111698"/>
    <w:rsid w:val="00111C79"/>
    <w:rsid w:val="001120A5"/>
    <w:rsid w:val="00112969"/>
    <w:rsid w:val="0011312C"/>
    <w:rsid w:val="001136A8"/>
    <w:rsid w:val="00113BD3"/>
    <w:rsid w:val="00114C02"/>
    <w:rsid w:val="001158FD"/>
    <w:rsid w:val="00115FE5"/>
    <w:rsid w:val="001168B4"/>
    <w:rsid w:val="00116C01"/>
    <w:rsid w:val="001171F6"/>
    <w:rsid w:val="00117832"/>
    <w:rsid w:val="001201CE"/>
    <w:rsid w:val="001203DD"/>
    <w:rsid w:val="001204C6"/>
    <w:rsid w:val="00120999"/>
    <w:rsid w:val="001219DF"/>
    <w:rsid w:val="0012217D"/>
    <w:rsid w:val="001228AF"/>
    <w:rsid w:val="00123A00"/>
    <w:rsid w:val="001241AD"/>
    <w:rsid w:val="00124C42"/>
    <w:rsid w:val="00124D67"/>
    <w:rsid w:val="00124E7C"/>
    <w:rsid w:val="0012595B"/>
    <w:rsid w:val="001269AF"/>
    <w:rsid w:val="001273C8"/>
    <w:rsid w:val="00127AFD"/>
    <w:rsid w:val="0013039B"/>
    <w:rsid w:val="0013051E"/>
    <w:rsid w:val="0013094C"/>
    <w:rsid w:val="001321CB"/>
    <w:rsid w:val="001322DE"/>
    <w:rsid w:val="00132633"/>
    <w:rsid w:val="00132E16"/>
    <w:rsid w:val="001335B7"/>
    <w:rsid w:val="00133CC3"/>
    <w:rsid w:val="00135D14"/>
    <w:rsid w:val="0013659A"/>
    <w:rsid w:val="00136C14"/>
    <w:rsid w:val="001404D4"/>
    <w:rsid w:val="001415F9"/>
    <w:rsid w:val="001417A0"/>
    <w:rsid w:val="00143573"/>
    <w:rsid w:val="00144AB5"/>
    <w:rsid w:val="001451E1"/>
    <w:rsid w:val="00145BA3"/>
    <w:rsid w:val="00145C2F"/>
    <w:rsid w:val="00145F2E"/>
    <w:rsid w:val="00146133"/>
    <w:rsid w:val="001465D6"/>
    <w:rsid w:val="00146F95"/>
    <w:rsid w:val="00147060"/>
    <w:rsid w:val="00147802"/>
    <w:rsid w:val="0014788A"/>
    <w:rsid w:val="001478C0"/>
    <w:rsid w:val="00147E26"/>
    <w:rsid w:val="00150A35"/>
    <w:rsid w:val="00151C8B"/>
    <w:rsid w:val="00152CDE"/>
    <w:rsid w:val="001543BE"/>
    <w:rsid w:val="00155298"/>
    <w:rsid w:val="00155BBF"/>
    <w:rsid w:val="00155D53"/>
    <w:rsid w:val="00155FCD"/>
    <w:rsid w:val="00157639"/>
    <w:rsid w:val="00157D53"/>
    <w:rsid w:val="00157FA2"/>
    <w:rsid w:val="00160728"/>
    <w:rsid w:val="001614AD"/>
    <w:rsid w:val="00162105"/>
    <w:rsid w:val="001622B5"/>
    <w:rsid w:val="001623D0"/>
    <w:rsid w:val="00162CD8"/>
    <w:rsid w:val="00162E01"/>
    <w:rsid w:val="00163540"/>
    <w:rsid w:val="0016397F"/>
    <w:rsid w:val="00163BBC"/>
    <w:rsid w:val="00164059"/>
    <w:rsid w:val="0016429D"/>
    <w:rsid w:val="00165D65"/>
    <w:rsid w:val="00166942"/>
    <w:rsid w:val="001671B2"/>
    <w:rsid w:val="001673BE"/>
    <w:rsid w:val="00167519"/>
    <w:rsid w:val="00167D13"/>
    <w:rsid w:val="00167D94"/>
    <w:rsid w:val="00167F53"/>
    <w:rsid w:val="00170191"/>
    <w:rsid w:val="0017107B"/>
    <w:rsid w:val="001713F5"/>
    <w:rsid w:val="00172045"/>
    <w:rsid w:val="00172A20"/>
    <w:rsid w:val="00172C42"/>
    <w:rsid w:val="00173DAF"/>
    <w:rsid w:val="001747B1"/>
    <w:rsid w:val="00174DCD"/>
    <w:rsid w:val="00175A7C"/>
    <w:rsid w:val="00176275"/>
    <w:rsid w:val="001764FE"/>
    <w:rsid w:val="00176C59"/>
    <w:rsid w:val="00176FD5"/>
    <w:rsid w:val="00177B44"/>
    <w:rsid w:val="00177C06"/>
    <w:rsid w:val="001808A8"/>
    <w:rsid w:val="00180AE9"/>
    <w:rsid w:val="00180CAF"/>
    <w:rsid w:val="00182EAC"/>
    <w:rsid w:val="00183138"/>
    <w:rsid w:val="001841CD"/>
    <w:rsid w:val="0018667F"/>
    <w:rsid w:val="0018767D"/>
    <w:rsid w:val="00187EF9"/>
    <w:rsid w:val="00190138"/>
    <w:rsid w:val="00192532"/>
    <w:rsid w:val="00192E86"/>
    <w:rsid w:val="00192EFA"/>
    <w:rsid w:val="0019383B"/>
    <w:rsid w:val="0019392E"/>
    <w:rsid w:val="00194A5A"/>
    <w:rsid w:val="00194CD9"/>
    <w:rsid w:val="00195232"/>
    <w:rsid w:val="0019528E"/>
    <w:rsid w:val="00196D27"/>
    <w:rsid w:val="001977E7"/>
    <w:rsid w:val="00197C50"/>
    <w:rsid w:val="001A09ED"/>
    <w:rsid w:val="001A0B7C"/>
    <w:rsid w:val="001A0C0B"/>
    <w:rsid w:val="001A0FF5"/>
    <w:rsid w:val="001A2008"/>
    <w:rsid w:val="001A21C3"/>
    <w:rsid w:val="001A3769"/>
    <w:rsid w:val="001A3C7F"/>
    <w:rsid w:val="001A5624"/>
    <w:rsid w:val="001A5915"/>
    <w:rsid w:val="001A5988"/>
    <w:rsid w:val="001A5AD7"/>
    <w:rsid w:val="001A5D81"/>
    <w:rsid w:val="001A6C69"/>
    <w:rsid w:val="001A6E76"/>
    <w:rsid w:val="001A6FF3"/>
    <w:rsid w:val="001A7399"/>
    <w:rsid w:val="001A76E1"/>
    <w:rsid w:val="001A7EAF"/>
    <w:rsid w:val="001B062A"/>
    <w:rsid w:val="001B154C"/>
    <w:rsid w:val="001B1A22"/>
    <w:rsid w:val="001B1C7E"/>
    <w:rsid w:val="001B1D9E"/>
    <w:rsid w:val="001B36D9"/>
    <w:rsid w:val="001B3D3F"/>
    <w:rsid w:val="001B4710"/>
    <w:rsid w:val="001B53E3"/>
    <w:rsid w:val="001B577D"/>
    <w:rsid w:val="001B5EA1"/>
    <w:rsid w:val="001B605C"/>
    <w:rsid w:val="001B64D2"/>
    <w:rsid w:val="001B68B4"/>
    <w:rsid w:val="001B6C5E"/>
    <w:rsid w:val="001B76B3"/>
    <w:rsid w:val="001B7D23"/>
    <w:rsid w:val="001C058C"/>
    <w:rsid w:val="001C0E2C"/>
    <w:rsid w:val="001C1E0A"/>
    <w:rsid w:val="001C234B"/>
    <w:rsid w:val="001C239C"/>
    <w:rsid w:val="001C2EA0"/>
    <w:rsid w:val="001C472A"/>
    <w:rsid w:val="001C4B16"/>
    <w:rsid w:val="001C4C55"/>
    <w:rsid w:val="001C5C53"/>
    <w:rsid w:val="001C5EC0"/>
    <w:rsid w:val="001C62E4"/>
    <w:rsid w:val="001C6777"/>
    <w:rsid w:val="001C6E82"/>
    <w:rsid w:val="001C7871"/>
    <w:rsid w:val="001C797B"/>
    <w:rsid w:val="001C7DE2"/>
    <w:rsid w:val="001C7E9C"/>
    <w:rsid w:val="001D0F81"/>
    <w:rsid w:val="001D1842"/>
    <w:rsid w:val="001D202A"/>
    <w:rsid w:val="001D25EE"/>
    <w:rsid w:val="001D27B1"/>
    <w:rsid w:val="001D3D26"/>
    <w:rsid w:val="001D4099"/>
    <w:rsid w:val="001D5670"/>
    <w:rsid w:val="001D5E2B"/>
    <w:rsid w:val="001D6A03"/>
    <w:rsid w:val="001D6DBA"/>
    <w:rsid w:val="001E02DE"/>
    <w:rsid w:val="001E0906"/>
    <w:rsid w:val="001E0922"/>
    <w:rsid w:val="001E09F8"/>
    <w:rsid w:val="001E0A82"/>
    <w:rsid w:val="001E14E6"/>
    <w:rsid w:val="001E1620"/>
    <w:rsid w:val="001E16DC"/>
    <w:rsid w:val="001E1910"/>
    <w:rsid w:val="001E2BE6"/>
    <w:rsid w:val="001E30A5"/>
    <w:rsid w:val="001E319F"/>
    <w:rsid w:val="001E3A1B"/>
    <w:rsid w:val="001E4DFC"/>
    <w:rsid w:val="001E75A4"/>
    <w:rsid w:val="001E76D3"/>
    <w:rsid w:val="001E77A6"/>
    <w:rsid w:val="001E79E2"/>
    <w:rsid w:val="001F1D0D"/>
    <w:rsid w:val="001F22D7"/>
    <w:rsid w:val="001F2649"/>
    <w:rsid w:val="001F2CCD"/>
    <w:rsid w:val="001F2EA2"/>
    <w:rsid w:val="001F3609"/>
    <w:rsid w:val="001F4122"/>
    <w:rsid w:val="001F44EC"/>
    <w:rsid w:val="001F4A22"/>
    <w:rsid w:val="001F4AE9"/>
    <w:rsid w:val="001F6318"/>
    <w:rsid w:val="001F66E3"/>
    <w:rsid w:val="001F66F6"/>
    <w:rsid w:val="001F6C99"/>
    <w:rsid w:val="001F7B46"/>
    <w:rsid w:val="0020047B"/>
    <w:rsid w:val="00201163"/>
    <w:rsid w:val="002011E2"/>
    <w:rsid w:val="0020145C"/>
    <w:rsid w:val="002016D9"/>
    <w:rsid w:val="00201F6F"/>
    <w:rsid w:val="00202CD8"/>
    <w:rsid w:val="00202DD1"/>
    <w:rsid w:val="002030A7"/>
    <w:rsid w:val="00203178"/>
    <w:rsid w:val="00203761"/>
    <w:rsid w:val="00204035"/>
    <w:rsid w:val="002048F5"/>
    <w:rsid w:val="0020501D"/>
    <w:rsid w:val="002060F0"/>
    <w:rsid w:val="00207664"/>
    <w:rsid w:val="00207F68"/>
    <w:rsid w:val="002104F2"/>
    <w:rsid w:val="00211104"/>
    <w:rsid w:val="00211906"/>
    <w:rsid w:val="00211B91"/>
    <w:rsid w:val="002123CE"/>
    <w:rsid w:val="002129F9"/>
    <w:rsid w:val="00214060"/>
    <w:rsid w:val="002150EB"/>
    <w:rsid w:val="002153AA"/>
    <w:rsid w:val="002157AF"/>
    <w:rsid w:val="00215ADF"/>
    <w:rsid w:val="00216F42"/>
    <w:rsid w:val="0021715D"/>
    <w:rsid w:val="00217336"/>
    <w:rsid w:val="0022079E"/>
    <w:rsid w:val="00222748"/>
    <w:rsid w:val="00222B3F"/>
    <w:rsid w:val="002237E6"/>
    <w:rsid w:val="002239F6"/>
    <w:rsid w:val="0022443C"/>
    <w:rsid w:val="002244B2"/>
    <w:rsid w:val="002244FB"/>
    <w:rsid w:val="00224736"/>
    <w:rsid w:val="002247AC"/>
    <w:rsid w:val="00224D3A"/>
    <w:rsid w:val="0022534A"/>
    <w:rsid w:val="00225DFB"/>
    <w:rsid w:val="00225F1D"/>
    <w:rsid w:val="00226209"/>
    <w:rsid w:val="00226595"/>
    <w:rsid w:val="0022667A"/>
    <w:rsid w:val="002267D5"/>
    <w:rsid w:val="002300FB"/>
    <w:rsid w:val="00230245"/>
    <w:rsid w:val="00230273"/>
    <w:rsid w:val="0023075F"/>
    <w:rsid w:val="002309A6"/>
    <w:rsid w:val="002313A6"/>
    <w:rsid w:val="002327B2"/>
    <w:rsid w:val="00232D1E"/>
    <w:rsid w:val="00234609"/>
    <w:rsid w:val="002349CB"/>
    <w:rsid w:val="00235487"/>
    <w:rsid w:val="00235666"/>
    <w:rsid w:val="002357D3"/>
    <w:rsid w:val="00236477"/>
    <w:rsid w:val="0023649D"/>
    <w:rsid w:val="00236AFB"/>
    <w:rsid w:val="00236DCF"/>
    <w:rsid w:val="002372EA"/>
    <w:rsid w:val="002373EB"/>
    <w:rsid w:val="00237746"/>
    <w:rsid w:val="00237AB1"/>
    <w:rsid w:val="00237ED4"/>
    <w:rsid w:val="002409A5"/>
    <w:rsid w:val="00240B08"/>
    <w:rsid w:val="00241456"/>
    <w:rsid w:val="00241BB0"/>
    <w:rsid w:val="00242030"/>
    <w:rsid w:val="00242DEF"/>
    <w:rsid w:val="00243160"/>
    <w:rsid w:val="00243AB6"/>
    <w:rsid w:val="002440A5"/>
    <w:rsid w:val="00244108"/>
    <w:rsid w:val="00244BCC"/>
    <w:rsid w:val="00244BDC"/>
    <w:rsid w:val="00244CFB"/>
    <w:rsid w:val="00244F93"/>
    <w:rsid w:val="0024537D"/>
    <w:rsid w:val="0024615A"/>
    <w:rsid w:val="00246BAD"/>
    <w:rsid w:val="002500B7"/>
    <w:rsid w:val="00251AAE"/>
    <w:rsid w:val="002525D1"/>
    <w:rsid w:val="00252F6E"/>
    <w:rsid w:val="002537DF"/>
    <w:rsid w:val="00254779"/>
    <w:rsid w:val="002547FB"/>
    <w:rsid w:val="00254D56"/>
    <w:rsid w:val="002560CA"/>
    <w:rsid w:val="0025620F"/>
    <w:rsid w:val="00256411"/>
    <w:rsid w:val="00256511"/>
    <w:rsid w:val="00257120"/>
    <w:rsid w:val="002572A8"/>
    <w:rsid w:val="00257D6F"/>
    <w:rsid w:val="00260044"/>
    <w:rsid w:val="0026069D"/>
    <w:rsid w:val="002608AB"/>
    <w:rsid w:val="00261508"/>
    <w:rsid w:val="00261940"/>
    <w:rsid w:val="00261A16"/>
    <w:rsid w:val="0026353C"/>
    <w:rsid w:val="002637F5"/>
    <w:rsid w:val="00263A53"/>
    <w:rsid w:val="00263A73"/>
    <w:rsid w:val="00263EB0"/>
    <w:rsid w:val="002642C8"/>
    <w:rsid w:val="00264568"/>
    <w:rsid w:val="00264ADA"/>
    <w:rsid w:val="00265F6B"/>
    <w:rsid w:val="00266791"/>
    <w:rsid w:val="00267E00"/>
    <w:rsid w:val="0027000A"/>
    <w:rsid w:val="00270558"/>
    <w:rsid w:val="002706ED"/>
    <w:rsid w:val="00270767"/>
    <w:rsid w:val="00270B91"/>
    <w:rsid w:val="00270EDE"/>
    <w:rsid w:val="002714DF"/>
    <w:rsid w:val="00272D12"/>
    <w:rsid w:val="002733B7"/>
    <w:rsid w:val="002739F9"/>
    <w:rsid w:val="00275759"/>
    <w:rsid w:val="00275DAD"/>
    <w:rsid w:val="00275DE3"/>
    <w:rsid w:val="00276B36"/>
    <w:rsid w:val="00277094"/>
    <w:rsid w:val="002777CD"/>
    <w:rsid w:val="00277A84"/>
    <w:rsid w:val="00277C8C"/>
    <w:rsid w:val="0028009B"/>
    <w:rsid w:val="00281020"/>
    <w:rsid w:val="002815AB"/>
    <w:rsid w:val="00281A5A"/>
    <w:rsid w:val="00281E49"/>
    <w:rsid w:val="00281EB6"/>
    <w:rsid w:val="002821C0"/>
    <w:rsid w:val="00282202"/>
    <w:rsid w:val="002824D1"/>
    <w:rsid w:val="00282A8A"/>
    <w:rsid w:val="00282AF0"/>
    <w:rsid w:val="002846A4"/>
    <w:rsid w:val="00284AB4"/>
    <w:rsid w:val="0028633D"/>
    <w:rsid w:val="00287B0B"/>
    <w:rsid w:val="00287C97"/>
    <w:rsid w:val="00290E78"/>
    <w:rsid w:val="00291353"/>
    <w:rsid w:val="00291C0D"/>
    <w:rsid w:val="00291EB9"/>
    <w:rsid w:val="002920B1"/>
    <w:rsid w:val="002923A7"/>
    <w:rsid w:val="00292477"/>
    <w:rsid w:val="002931FB"/>
    <w:rsid w:val="00293493"/>
    <w:rsid w:val="00293623"/>
    <w:rsid w:val="00294040"/>
    <w:rsid w:val="0029412B"/>
    <w:rsid w:val="0029494E"/>
    <w:rsid w:val="00295DF8"/>
    <w:rsid w:val="00296154"/>
    <w:rsid w:val="00296BC7"/>
    <w:rsid w:val="00296E15"/>
    <w:rsid w:val="00297F93"/>
    <w:rsid w:val="002A0FF8"/>
    <w:rsid w:val="002A1D0F"/>
    <w:rsid w:val="002A3BAE"/>
    <w:rsid w:val="002A4815"/>
    <w:rsid w:val="002A528F"/>
    <w:rsid w:val="002A573E"/>
    <w:rsid w:val="002A6BCD"/>
    <w:rsid w:val="002A6C55"/>
    <w:rsid w:val="002A7915"/>
    <w:rsid w:val="002B066D"/>
    <w:rsid w:val="002B0AEB"/>
    <w:rsid w:val="002B11F0"/>
    <w:rsid w:val="002B1BF4"/>
    <w:rsid w:val="002B1EC8"/>
    <w:rsid w:val="002B1FBC"/>
    <w:rsid w:val="002B2D47"/>
    <w:rsid w:val="002B33CE"/>
    <w:rsid w:val="002B3A8E"/>
    <w:rsid w:val="002B4ECA"/>
    <w:rsid w:val="002B50A1"/>
    <w:rsid w:val="002B5632"/>
    <w:rsid w:val="002B6EA0"/>
    <w:rsid w:val="002B7B39"/>
    <w:rsid w:val="002B7BD2"/>
    <w:rsid w:val="002C018C"/>
    <w:rsid w:val="002C0DA8"/>
    <w:rsid w:val="002C1487"/>
    <w:rsid w:val="002C177F"/>
    <w:rsid w:val="002C1AEA"/>
    <w:rsid w:val="002C1CA8"/>
    <w:rsid w:val="002C1ECA"/>
    <w:rsid w:val="002C25B9"/>
    <w:rsid w:val="002C2AD3"/>
    <w:rsid w:val="002C36F4"/>
    <w:rsid w:val="002C36FB"/>
    <w:rsid w:val="002C383E"/>
    <w:rsid w:val="002C4CC4"/>
    <w:rsid w:val="002C5DB1"/>
    <w:rsid w:val="002C6B88"/>
    <w:rsid w:val="002C73AE"/>
    <w:rsid w:val="002D0A0F"/>
    <w:rsid w:val="002D107F"/>
    <w:rsid w:val="002D1522"/>
    <w:rsid w:val="002D20B2"/>
    <w:rsid w:val="002D22FD"/>
    <w:rsid w:val="002D303C"/>
    <w:rsid w:val="002D3D02"/>
    <w:rsid w:val="002D41AF"/>
    <w:rsid w:val="002D5C04"/>
    <w:rsid w:val="002D61A4"/>
    <w:rsid w:val="002D623B"/>
    <w:rsid w:val="002D72C7"/>
    <w:rsid w:val="002D76B5"/>
    <w:rsid w:val="002D7D26"/>
    <w:rsid w:val="002E0C09"/>
    <w:rsid w:val="002E101A"/>
    <w:rsid w:val="002E137C"/>
    <w:rsid w:val="002E15CD"/>
    <w:rsid w:val="002E2222"/>
    <w:rsid w:val="002E268A"/>
    <w:rsid w:val="002E2E97"/>
    <w:rsid w:val="002E3005"/>
    <w:rsid w:val="002E49EC"/>
    <w:rsid w:val="002E4C09"/>
    <w:rsid w:val="002E62D3"/>
    <w:rsid w:val="002E635F"/>
    <w:rsid w:val="002E7600"/>
    <w:rsid w:val="002F0369"/>
    <w:rsid w:val="002F0442"/>
    <w:rsid w:val="002F0571"/>
    <w:rsid w:val="002F14E7"/>
    <w:rsid w:val="002F166A"/>
    <w:rsid w:val="002F1986"/>
    <w:rsid w:val="002F1F1F"/>
    <w:rsid w:val="002F1F45"/>
    <w:rsid w:val="002F266A"/>
    <w:rsid w:val="002F3D25"/>
    <w:rsid w:val="002F4795"/>
    <w:rsid w:val="002F4F07"/>
    <w:rsid w:val="002F4F28"/>
    <w:rsid w:val="002F4FDF"/>
    <w:rsid w:val="002F5C78"/>
    <w:rsid w:val="002F5FFD"/>
    <w:rsid w:val="002F6115"/>
    <w:rsid w:val="002F65A8"/>
    <w:rsid w:val="002F68E0"/>
    <w:rsid w:val="002F6D3A"/>
    <w:rsid w:val="002F78BA"/>
    <w:rsid w:val="00301013"/>
    <w:rsid w:val="0030234B"/>
    <w:rsid w:val="0030237E"/>
    <w:rsid w:val="00302AC7"/>
    <w:rsid w:val="00302C5E"/>
    <w:rsid w:val="0030354F"/>
    <w:rsid w:val="00303587"/>
    <w:rsid w:val="003037A7"/>
    <w:rsid w:val="00303FC2"/>
    <w:rsid w:val="003046AC"/>
    <w:rsid w:val="00305768"/>
    <w:rsid w:val="00307191"/>
    <w:rsid w:val="00310B55"/>
    <w:rsid w:val="00310F6F"/>
    <w:rsid w:val="00311B5A"/>
    <w:rsid w:val="003122D1"/>
    <w:rsid w:val="00312D9E"/>
    <w:rsid w:val="00312EA1"/>
    <w:rsid w:val="00313521"/>
    <w:rsid w:val="00314317"/>
    <w:rsid w:val="003145A5"/>
    <w:rsid w:val="003152F6"/>
    <w:rsid w:val="00315BA7"/>
    <w:rsid w:val="00316400"/>
    <w:rsid w:val="003166A1"/>
    <w:rsid w:val="00316B47"/>
    <w:rsid w:val="00316DD0"/>
    <w:rsid w:val="003179D4"/>
    <w:rsid w:val="00317DB5"/>
    <w:rsid w:val="003210C1"/>
    <w:rsid w:val="003212C3"/>
    <w:rsid w:val="003213E4"/>
    <w:rsid w:val="003214C9"/>
    <w:rsid w:val="00321CB7"/>
    <w:rsid w:val="00322677"/>
    <w:rsid w:val="00322E91"/>
    <w:rsid w:val="00323054"/>
    <w:rsid w:val="003237CB"/>
    <w:rsid w:val="00323804"/>
    <w:rsid w:val="00323D30"/>
    <w:rsid w:val="00323EA0"/>
    <w:rsid w:val="00324222"/>
    <w:rsid w:val="00324CE6"/>
    <w:rsid w:val="00325048"/>
    <w:rsid w:val="00325797"/>
    <w:rsid w:val="00325C02"/>
    <w:rsid w:val="00325C74"/>
    <w:rsid w:val="0032631D"/>
    <w:rsid w:val="00326389"/>
    <w:rsid w:val="00327801"/>
    <w:rsid w:val="0033004C"/>
    <w:rsid w:val="00330773"/>
    <w:rsid w:val="003307B8"/>
    <w:rsid w:val="00330C17"/>
    <w:rsid w:val="00332F5C"/>
    <w:rsid w:val="00333843"/>
    <w:rsid w:val="003350ED"/>
    <w:rsid w:val="00335285"/>
    <w:rsid w:val="00336139"/>
    <w:rsid w:val="0033688B"/>
    <w:rsid w:val="003369F1"/>
    <w:rsid w:val="00337244"/>
    <w:rsid w:val="00337DAA"/>
    <w:rsid w:val="00341629"/>
    <w:rsid w:val="003417BB"/>
    <w:rsid w:val="00341F0D"/>
    <w:rsid w:val="00342111"/>
    <w:rsid w:val="003427AB"/>
    <w:rsid w:val="00342DB1"/>
    <w:rsid w:val="0034348F"/>
    <w:rsid w:val="00343DD8"/>
    <w:rsid w:val="00344130"/>
    <w:rsid w:val="0034539B"/>
    <w:rsid w:val="0034576B"/>
    <w:rsid w:val="00345C01"/>
    <w:rsid w:val="0034659D"/>
    <w:rsid w:val="003465DA"/>
    <w:rsid w:val="003469ED"/>
    <w:rsid w:val="00347863"/>
    <w:rsid w:val="003505CA"/>
    <w:rsid w:val="00350D76"/>
    <w:rsid w:val="003513EA"/>
    <w:rsid w:val="0035256D"/>
    <w:rsid w:val="003525A5"/>
    <w:rsid w:val="003528B0"/>
    <w:rsid w:val="00352EDE"/>
    <w:rsid w:val="00353AAA"/>
    <w:rsid w:val="00355B12"/>
    <w:rsid w:val="0035612D"/>
    <w:rsid w:val="00356F51"/>
    <w:rsid w:val="00360482"/>
    <w:rsid w:val="00360996"/>
    <w:rsid w:val="00360D4F"/>
    <w:rsid w:val="00361F27"/>
    <w:rsid w:val="0036206A"/>
    <w:rsid w:val="00362EC5"/>
    <w:rsid w:val="00362F47"/>
    <w:rsid w:val="00364110"/>
    <w:rsid w:val="00364ACA"/>
    <w:rsid w:val="003662A9"/>
    <w:rsid w:val="003666BA"/>
    <w:rsid w:val="003675E9"/>
    <w:rsid w:val="00370229"/>
    <w:rsid w:val="00371E01"/>
    <w:rsid w:val="0037227E"/>
    <w:rsid w:val="003726EF"/>
    <w:rsid w:val="00372D17"/>
    <w:rsid w:val="00372E62"/>
    <w:rsid w:val="00372FB0"/>
    <w:rsid w:val="0037353E"/>
    <w:rsid w:val="00373AFB"/>
    <w:rsid w:val="00373C4C"/>
    <w:rsid w:val="00373C53"/>
    <w:rsid w:val="0037407C"/>
    <w:rsid w:val="00374F89"/>
    <w:rsid w:val="0037522E"/>
    <w:rsid w:val="00376EFD"/>
    <w:rsid w:val="0037794D"/>
    <w:rsid w:val="00377CD8"/>
    <w:rsid w:val="003807E7"/>
    <w:rsid w:val="0038161D"/>
    <w:rsid w:val="00383939"/>
    <w:rsid w:val="00384B55"/>
    <w:rsid w:val="0038509C"/>
    <w:rsid w:val="00385194"/>
    <w:rsid w:val="003853DF"/>
    <w:rsid w:val="00386654"/>
    <w:rsid w:val="003866ED"/>
    <w:rsid w:val="00386C04"/>
    <w:rsid w:val="003875F7"/>
    <w:rsid w:val="00387C84"/>
    <w:rsid w:val="00387E26"/>
    <w:rsid w:val="003911D8"/>
    <w:rsid w:val="00392423"/>
    <w:rsid w:val="00392580"/>
    <w:rsid w:val="00393742"/>
    <w:rsid w:val="003947F6"/>
    <w:rsid w:val="0039553E"/>
    <w:rsid w:val="00396BC7"/>
    <w:rsid w:val="00396C0A"/>
    <w:rsid w:val="00396C29"/>
    <w:rsid w:val="00397A5E"/>
    <w:rsid w:val="00397C64"/>
    <w:rsid w:val="003A0F86"/>
    <w:rsid w:val="003A1C32"/>
    <w:rsid w:val="003A2C0D"/>
    <w:rsid w:val="003A316A"/>
    <w:rsid w:val="003A337D"/>
    <w:rsid w:val="003A3661"/>
    <w:rsid w:val="003A5208"/>
    <w:rsid w:val="003A590C"/>
    <w:rsid w:val="003A6738"/>
    <w:rsid w:val="003A7414"/>
    <w:rsid w:val="003A76F5"/>
    <w:rsid w:val="003A7BC6"/>
    <w:rsid w:val="003A7C0C"/>
    <w:rsid w:val="003B1087"/>
    <w:rsid w:val="003B1B94"/>
    <w:rsid w:val="003B2147"/>
    <w:rsid w:val="003B357C"/>
    <w:rsid w:val="003B3655"/>
    <w:rsid w:val="003B377B"/>
    <w:rsid w:val="003B38F1"/>
    <w:rsid w:val="003B39C2"/>
    <w:rsid w:val="003B41F0"/>
    <w:rsid w:val="003B4378"/>
    <w:rsid w:val="003B4693"/>
    <w:rsid w:val="003B47CD"/>
    <w:rsid w:val="003B4B21"/>
    <w:rsid w:val="003B5078"/>
    <w:rsid w:val="003B5C40"/>
    <w:rsid w:val="003B6AB4"/>
    <w:rsid w:val="003B6F66"/>
    <w:rsid w:val="003B74B7"/>
    <w:rsid w:val="003B7CE6"/>
    <w:rsid w:val="003C0223"/>
    <w:rsid w:val="003C035B"/>
    <w:rsid w:val="003C090B"/>
    <w:rsid w:val="003C0FFC"/>
    <w:rsid w:val="003C1328"/>
    <w:rsid w:val="003C1B91"/>
    <w:rsid w:val="003C1E8D"/>
    <w:rsid w:val="003C2431"/>
    <w:rsid w:val="003C2C6B"/>
    <w:rsid w:val="003C4157"/>
    <w:rsid w:val="003C428E"/>
    <w:rsid w:val="003C54F2"/>
    <w:rsid w:val="003C588D"/>
    <w:rsid w:val="003C5C5B"/>
    <w:rsid w:val="003C5D3C"/>
    <w:rsid w:val="003C5F4B"/>
    <w:rsid w:val="003C6406"/>
    <w:rsid w:val="003C6832"/>
    <w:rsid w:val="003C787B"/>
    <w:rsid w:val="003C7EFD"/>
    <w:rsid w:val="003D0160"/>
    <w:rsid w:val="003D045F"/>
    <w:rsid w:val="003D09B2"/>
    <w:rsid w:val="003D124B"/>
    <w:rsid w:val="003D1F0F"/>
    <w:rsid w:val="003D266B"/>
    <w:rsid w:val="003D2B83"/>
    <w:rsid w:val="003D2BF5"/>
    <w:rsid w:val="003D3BAA"/>
    <w:rsid w:val="003D3EC2"/>
    <w:rsid w:val="003D408F"/>
    <w:rsid w:val="003D4B27"/>
    <w:rsid w:val="003D521E"/>
    <w:rsid w:val="003D531D"/>
    <w:rsid w:val="003D6528"/>
    <w:rsid w:val="003D719F"/>
    <w:rsid w:val="003D71D3"/>
    <w:rsid w:val="003E0A3C"/>
    <w:rsid w:val="003E11EB"/>
    <w:rsid w:val="003E1BAA"/>
    <w:rsid w:val="003E27EF"/>
    <w:rsid w:val="003E2A33"/>
    <w:rsid w:val="003E30CB"/>
    <w:rsid w:val="003E32F3"/>
    <w:rsid w:val="003E3708"/>
    <w:rsid w:val="003E390A"/>
    <w:rsid w:val="003E505F"/>
    <w:rsid w:val="003E5885"/>
    <w:rsid w:val="003E5B66"/>
    <w:rsid w:val="003E77E0"/>
    <w:rsid w:val="003E78BF"/>
    <w:rsid w:val="003E7B09"/>
    <w:rsid w:val="003F08AF"/>
    <w:rsid w:val="003F0A1E"/>
    <w:rsid w:val="003F0A7C"/>
    <w:rsid w:val="003F2A45"/>
    <w:rsid w:val="003F2A77"/>
    <w:rsid w:val="003F3650"/>
    <w:rsid w:val="003F4F62"/>
    <w:rsid w:val="003F5DE6"/>
    <w:rsid w:val="003F6056"/>
    <w:rsid w:val="003F60D9"/>
    <w:rsid w:val="003F6CE8"/>
    <w:rsid w:val="003F72F9"/>
    <w:rsid w:val="003F7627"/>
    <w:rsid w:val="0040056F"/>
    <w:rsid w:val="00400824"/>
    <w:rsid w:val="00400FFB"/>
    <w:rsid w:val="0040360C"/>
    <w:rsid w:val="004037F3"/>
    <w:rsid w:val="00403A7B"/>
    <w:rsid w:val="00403E5D"/>
    <w:rsid w:val="00405AC7"/>
    <w:rsid w:val="0040634B"/>
    <w:rsid w:val="00406372"/>
    <w:rsid w:val="00406385"/>
    <w:rsid w:val="00406BE8"/>
    <w:rsid w:val="004106FB"/>
    <w:rsid w:val="00410B31"/>
    <w:rsid w:val="00411CE0"/>
    <w:rsid w:val="00412155"/>
    <w:rsid w:val="0041387F"/>
    <w:rsid w:val="00414233"/>
    <w:rsid w:val="004151BD"/>
    <w:rsid w:val="0041575F"/>
    <w:rsid w:val="004167A3"/>
    <w:rsid w:val="00416F6E"/>
    <w:rsid w:val="00417119"/>
    <w:rsid w:val="004178EB"/>
    <w:rsid w:val="00420A56"/>
    <w:rsid w:val="00420FFA"/>
    <w:rsid w:val="004210CC"/>
    <w:rsid w:val="00421150"/>
    <w:rsid w:val="0042174F"/>
    <w:rsid w:val="004218D7"/>
    <w:rsid w:val="00422A34"/>
    <w:rsid w:val="0042353F"/>
    <w:rsid w:val="0042425B"/>
    <w:rsid w:val="00424925"/>
    <w:rsid w:val="004255F1"/>
    <w:rsid w:val="00425BE2"/>
    <w:rsid w:val="004260D7"/>
    <w:rsid w:val="00427264"/>
    <w:rsid w:val="00427554"/>
    <w:rsid w:val="0043055A"/>
    <w:rsid w:val="00430696"/>
    <w:rsid w:val="00431173"/>
    <w:rsid w:val="0043262D"/>
    <w:rsid w:val="00432F3F"/>
    <w:rsid w:val="004331A8"/>
    <w:rsid w:val="004332CE"/>
    <w:rsid w:val="00434296"/>
    <w:rsid w:val="00434337"/>
    <w:rsid w:val="004345C3"/>
    <w:rsid w:val="00434CB6"/>
    <w:rsid w:val="00435073"/>
    <w:rsid w:val="00435121"/>
    <w:rsid w:val="00435F51"/>
    <w:rsid w:val="00436AED"/>
    <w:rsid w:val="00437900"/>
    <w:rsid w:val="00437C9E"/>
    <w:rsid w:val="00440704"/>
    <w:rsid w:val="0044086E"/>
    <w:rsid w:val="00440BDD"/>
    <w:rsid w:val="00441071"/>
    <w:rsid w:val="00441268"/>
    <w:rsid w:val="0044129C"/>
    <w:rsid w:val="004422B2"/>
    <w:rsid w:val="00442CF4"/>
    <w:rsid w:val="00442E36"/>
    <w:rsid w:val="00442ECF"/>
    <w:rsid w:val="0044333B"/>
    <w:rsid w:val="0044345D"/>
    <w:rsid w:val="00443C72"/>
    <w:rsid w:val="00443D47"/>
    <w:rsid w:val="00444AAF"/>
    <w:rsid w:val="00444C3D"/>
    <w:rsid w:val="00444C90"/>
    <w:rsid w:val="004454AF"/>
    <w:rsid w:val="0044563F"/>
    <w:rsid w:val="0044567E"/>
    <w:rsid w:val="00446576"/>
    <w:rsid w:val="00446E63"/>
    <w:rsid w:val="004475A0"/>
    <w:rsid w:val="00447846"/>
    <w:rsid w:val="0045043C"/>
    <w:rsid w:val="0045160C"/>
    <w:rsid w:val="004517FC"/>
    <w:rsid w:val="00451BCF"/>
    <w:rsid w:val="0045239A"/>
    <w:rsid w:val="00452686"/>
    <w:rsid w:val="0045315E"/>
    <w:rsid w:val="004532BC"/>
    <w:rsid w:val="004533E6"/>
    <w:rsid w:val="00453AD3"/>
    <w:rsid w:val="0045461C"/>
    <w:rsid w:val="00454AE5"/>
    <w:rsid w:val="00455638"/>
    <w:rsid w:val="00455957"/>
    <w:rsid w:val="00455DF5"/>
    <w:rsid w:val="00456765"/>
    <w:rsid w:val="00456952"/>
    <w:rsid w:val="00456FBF"/>
    <w:rsid w:val="00460B41"/>
    <w:rsid w:val="00460C7C"/>
    <w:rsid w:val="00460DFE"/>
    <w:rsid w:val="00460E1F"/>
    <w:rsid w:val="00461B43"/>
    <w:rsid w:val="00461F55"/>
    <w:rsid w:val="00463127"/>
    <w:rsid w:val="004632CF"/>
    <w:rsid w:val="004636F7"/>
    <w:rsid w:val="0046386F"/>
    <w:rsid w:val="00464090"/>
    <w:rsid w:val="004652E0"/>
    <w:rsid w:val="00465F40"/>
    <w:rsid w:val="00470075"/>
    <w:rsid w:val="004707E3"/>
    <w:rsid w:val="0047089E"/>
    <w:rsid w:val="004711E4"/>
    <w:rsid w:val="00472840"/>
    <w:rsid w:val="004738F2"/>
    <w:rsid w:val="00473D79"/>
    <w:rsid w:val="00474023"/>
    <w:rsid w:val="0047457D"/>
    <w:rsid w:val="00475BEA"/>
    <w:rsid w:val="00476355"/>
    <w:rsid w:val="00476BCB"/>
    <w:rsid w:val="00480234"/>
    <w:rsid w:val="004803D5"/>
    <w:rsid w:val="0048126D"/>
    <w:rsid w:val="0048126F"/>
    <w:rsid w:val="00483C77"/>
    <w:rsid w:val="00484132"/>
    <w:rsid w:val="00484CB1"/>
    <w:rsid w:val="00486685"/>
    <w:rsid w:val="00486782"/>
    <w:rsid w:val="0048753E"/>
    <w:rsid w:val="0049090F"/>
    <w:rsid w:val="0049137F"/>
    <w:rsid w:val="0049169E"/>
    <w:rsid w:val="00491D65"/>
    <w:rsid w:val="0049274D"/>
    <w:rsid w:val="00494F08"/>
    <w:rsid w:val="00495114"/>
    <w:rsid w:val="00495655"/>
    <w:rsid w:val="004956DC"/>
    <w:rsid w:val="0049687D"/>
    <w:rsid w:val="004972EB"/>
    <w:rsid w:val="00497406"/>
    <w:rsid w:val="004A05CD"/>
    <w:rsid w:val="004A0ABF"/>
    <w:rsid w:val="004A127F"/>
    <w:rsid w:val="004A2485"/>
    <w:rsid w:val="004A248C"/>
    <w:rsid w:val="004A2E61"/>
    <w:rsid w:val="004A2EBA"/>
    <w:rsid w:val="004A2F8B"/>
    <w:rsid w:val="004A342E"/>
    <w:rsid w:val="004A3BDB"/>
    <w:rsid w:val="004A3E32"/>
    <w:rsid w:val="004A4812"/>
    <w:rsid w:val="004A4C3B"/>
    <w:rsid w:val="004A54E4"/>
    <w:rsid w:val="004A5E28"/>
    <w:rsid w:val="004A6B06"/>
    <w:rsid w:val="004A70B6"/>
    <w:rsid w:val="004A78D7"/>
    <w:rsid w:val="004A7FCA"/>
    <w:rsid w:val="004B09E1"/>
    <w:rsid w:val="004B136C"/>
    <w:rsid w:val="004B1805"/>
    <w:rsid w:val="004B1B5E"/>
    <w:rsid w:val="004B21EF"/>
    <w:rsid w:val="004B3E91"/>
    <w:rsid w:val="004B54DE"/>
    <w:rsid w:val="004B5C04"/>
    <w:rsid w:val="004B5DB3"/>
    <w:rsid w:val="004B675C"/>
    <w:rsid w:val="004B69B5"/>
    <w:rsid w:val="004B6F81"/>
    <w:rsid w:val="004B713E"/>
    <w:rsid w:val="004B78E9"/>
    <w:rsid w:val="004C152A"/>
    <w:rsid w:val="004C285C"/>
    <w:rsid w:val="004C34FE"/>
    <w:rsid w:val="004C38F9"/>
    <w:rsid w:val="004C49FA"/>
    <w:rsid w:val="004C5264"/>
    <w:rsid w:val="004C5F21"/>
    <w:rsid w:val="004C5F62"/>
    <w:rsid w:val="004C65D9"/>
    <w:rsid w:val="004C714E"/>
    <w:rsid w:val="004C7925"/>
    <w:rsid w:val="004C7A9B"/>
    <w:rsid w:val="004D034C"/>
    <w:rsid w:val="004D036D"/>
    <w:rsid w:val="004D23AB"/>
    <w:rsid w:val="004D24D3"/>
    <w:rsid w:val="004D2622"/>
    <w:rsid w:val="004D33F6"/>
    <w:rsid w:val="004D3A98"/>
    <w:rsid w:val="004D495C"/>
    <w:rsid w:val="004D4A99"/>
    <w:rsid w:val="004D53DB"/>
    <w:rsid w:val="004D53E2"/>
    <w:rsid w:val="004D5611"/>
    <w:rsid w:val="004D5E46"/>
    <w:rsid w:val="004D64EB"/>
    <w:rsid w:val="004D698F"/>
    <w:rsid w:val="004D6E0E"/>
    <w:rsid w:val="004D72EA"/>
    <w:rsid w:val="004D768C"/>
    <w:rsid w:val="004D790A"/>
    <w:rsid w:val="004E002B"/>
    <w:rsid w:val="004E116B"/>
    <w:rsid w:val="004E1EF5"/>
    <w:rsid w:val="004E2B79"/>
    <w:rsid w:val="004E2D62"/>
    <w:rsid w:val="004E487D"/>
    <w:rsid w:val="004E6774"/>
    <w:rsid w:val="004E6E5C"/>
    <w:rsid w:val="004E71F3"/>
    <w:rsid w:val="004F0A05"/>
    <w:rsid w:val="004F1702"/>
    <w:rsid w:val="004F1720"/>
    <w:rsid w:val="004F1CEB"/>
    <w:rsid w:val="004F2B3C"/>
    <w:rsid w:val="004F339D"/>
    <w:rsid w:val="004F35DD"/>
    <w:rsid w:val="004F46A6"/>
    <w:rsid w:val="004F5D5D"/>
    <w:rsid w:val="004F63AD"/>
    <w:rsid w:val="004F709C"/>
    <w:rsid w:val="0050022A"/>
    <w:rsid w:val="00500A61"/>
    <w:rsid w:val="00500CF7"/>
    <w:rsid w:val="00501204"/>
    <w:rsid w:val="00501391"/>
    <w:rsid w:val="00501E23"/>
    <w:rsid w:val="005021DC"/>
    <w:rsid w:val="005029C9"/>
    <w:rsid w:val="00502D2F"/>
    <w:rsid w:val="005030BB"/>
    <w:rsid w:val="005031DB"/>
    <w:rsid w:val="00503878"/>
    <w:rsid w:val="0050631C"/>
    <w:rsid w:val="00506CD9"/>
    <w:rsid w:val="00507478"/>
    <w:rsid w:val="00507DCA"/>
    <w:rsid w:val="0051108B"/>
    <w:rsid w:val="0051119A"/>
    <w:rsid w:val="0051150A"/>
    <w:rsid w:val="0051156C"/>
    <w:rsid w:val="005118F8"/>
    <w:rsid w:val="005119B3"/>
    <w:rsid w:val="00511A34"/>
    <w:rsid w:val="00511C4D"/>
    <w:rsid w:val="00514473"/>
    <w:rsid w:val="0051569F"/>
    <w:rsid w:val="005169BA"/>
    <w:rsid w:val="00516C22"/>
    <w:rsid w:val="00516F1C"/>
    <w:rsid w:val="005178DD"/>
    <w:rsid w:val="00517DCE"/>
    <w:rsid w:val="00517E70"/>
    <w:rsid w:val="00520524"/>
    <w:rsid w:val="00520C92"/>
    <w:rsid w:val="0052119A"/>
    <w:rsid w:val="005214B7"/>
    <w:rsid w:val="005214C7"/>
    <w:rsid w:val="00521B19"/>
    <w:rsid w:val="00522001"/>
    <w:rsid w:val="00522016"/>
    <w:rsid w:val="0052223F"/>
    <w:rsid w:val="00522FA6"/>
    <w:rsid w:val="005235A8"/>
    <w:rsid w:val="00523968"/>
    <w:rsid w:val="00523A8E"/>
    <w:rsid w:val="00523CBB"/>
    <w:rsid w:val="005248AE"/>
    <w:rsid w:val="00524F1C"/>
    <w:rsid w:val="005259FB"/>
    <w:rsid w:val="00526578"/>
    <w:rsid w:val="00526972"/>
    <w:rsid w:val="00526B74"/>
    <w:rsid w:val="00527CD1"/>
    <w:rsid w:val="00530A6B"/>
    <w:rsid w:val="0053182B"/>
    <w:rsid w:val="005324A5"/>
    <w:rsid w:val="005333DE"/>
    <w:rsid w:val="00533508"/>
    <w:rsid w:val="005346A9"/>
    <w:rsid w:val="00535080"/>
    <w:rsid w:val="00535385"/>
    <w:rsid w:val="00535D31"/>
    <w:rsid w:val="00536614"/>
    <w:rsid w:val="00536F7D"/>
    <w:rsid w:val="005375AA"/>
    <w:rsid w:val="005378D2"/>
    <w:rsid w:val="00537BF8"/>
    <w:rsid w:val="00540654"/>
    <w:rsid w:val="00540903"/>
    <w:rsid w:val="00542321"/>
    <w:rsid w:val="00542C0D"/>
    <w:rsid w:val="00542D80"/>
    <w:rsid w:val="00543405"/>
    <w:rsid w:val="005438E0"/>
    <w:rsid w:val="005441CC"/>
    <w:rsid w:val="005449E9"/>
    <w:rsid w:val="00544A81"/>
    <w:rsid w:val="00544B12"/>
    <w:rsid w:val="00546F30"/>
    <w:rsid w:val="0054707B"/>
    <w:rsid w:val="00547F3A"/>
    <w:rsid w:val="00550051"/>
    <w:rsid w:val="005505D5"/>
    <w:rsid w:val="00550D7B"/>
    <w:rsid w:val="0055274A"/>
    <w:rsid w:val="00552E52"/>
    <w:rsid w:val="005530B3"/>
    <w:rsid w:val="00554B2E"/>
    <w:rsid w:val="00555921"/>
    <w:rsid w:val="0055598E"/>
    <w:rsid w:val="00555D02"/>
    <w:rsid w:val="00556031"/>
    <w:rsid w:val="00556925"/>
    <w:rsid w:val="00556AD2"/>
    <w:rsid w:val="00556C8B"/>
    <w:rsid w:val="00557072"/>
    <w:rsid w:val="005572F0"/>
    <w:rsid w:val="0055746D"/>
    <w:rsid w:val="00557AEC"/>
    <w:rsid w:val="00557F3B"/>
    <w:rsid w:val="00561278"/>
    <w:rsid w:val="00561526"/>
    <w:rsid w:val="00561F33"/>
    <w:rsid w:val="005621A9"/>
    <w:rsid w:val="00562553"/>
    <w:rsid w:val="005625E1"/>
    <w:rsid w:val="00562ED5"/>
    <w:rsid w:val="00562F89"/>
    <w:rsid w:val="00564C4A"/>
    <w:rsid w:val="00565744"/>
    <w:rsid w:val="005661F5"/>
    <w:rsid w:val="00567BAE"/>
    <w:rsid w:val="005700BC"/>
    <w:rsid w:val="00570300"/>
    <w:rsid w:val="00570877"/>
    <w:rsid w:val="00570A95"/>
    <w:rsid w:val="00570C14"/>
    <w:rsid w:val="005710F6"/>
    <w:rsid w:val="00571219"/>
    <w:rsid w:val="0057195F"/>
    <w:rsid w:val="00571FDE"/>
    <w:rsid w:val="00575327"/>
    <w:rsid w:val="0057542C"/>
    <w:rsid w:val="00575AF9"/>
    <w:rsid w:val="00576340"/>
    <w:rsid w:val="00576522"/>
    <w:rsid w:val="0057662D"/>
    <w:rsid w:val="00576A59"/>
    <w:rsid w:val="005777D8"/>
    <w:rsid w:val="00577AE3"/>
    <w:rsid w:val="00577F61"/>
    <w:rsid w:val="0058003F"/>
    <w:rsid w:val="00580F71"/>
    <w:rsid w:val="00581EBE"/>
    <w:rsid w:val="00582E31"/>
    <w:rsid w:val="00584347"/>
    <w:rsid w:val="005844BD"/>
    <w:rsid w:val="0058520D"/>
    <w:rsid w:val="00585511"/>
    <w:rsid w:val="0058598C"/>
    <w:rsid w:val="0058607E"/>
    <w:rsid w:val="0058642D"/>
    <w:rsid w:val="005876C3"/>
    <w:rsid w:val="005879B2"/>
    <w:rsid w:val="00587D0F"/>
    <w:rsid w:val="00591688"/>
    <w:rsid w:val="00591A50"/>
    <w:rsid w:val="005925B7"/>
    <w:rsid w:val="0059411D"/>
    <w:rsid w:val="005942E8"/>
    <w:rsid w:val="0059496A"/>
    <w:rsid w:val="00594991"/>
    <w:rsid w:val="00595F7B"/>
    <w:rsid w:val="00597D8F"/>
    <w:rsid w:val="00597E20"/>
    <w:rsid w:val="005A0283"/>
    <w:rsid w:val="005A057A"/>
    <w:rsid w:val="005A0F32"/>
    <w:rsid w:val="005A10F9"/>
    <w:rsid w:val="005A273C"/>
    <w:rsid w:val="005A323D"/>
    <w:rsid w:val="005A4765"/>
    <w:rsid w:val="005A4C37"/>
    <w:rsid w:val="005A5453"/>
    <w:rsid w:val="005A5845"/>
    <w:rsid w:val="005A5AED"/>
    <w:rsid w:val="005A5FC1"/>
    <w:rsid w:val="005A750E"/>
    <w:rsid w:val="005A75C1"/>
    <w:rsid w:val="005A7A69"/>
    <w:rsid w:val="005A7BFE"/>
    <w:rsid w:val="005B0099"/>
    <w:rsid w:val="005B0F6C"/>
    <w:rsid w:val="005B16AA"/>
    <w:rsid w:val="005B18FD"/>
    <w:rsid w:val="005B2034"/>
    <w:rsid w:val="005B266C"/>
    <w:rsid w:val="005B365C"/>
    <w:rsid w:val="005B4D15"/>
    <w:rsid w:val="005B5236"/>
    <w:rsid w:val="005B54AC"/>
    <w:rsid w:val="005B5D13"/>
    <w:rsid w:val="005B69F0"/>
    <w:rsid w:val="005B6C5C"/>
    <w:rsid w:val="005B75C2"/>
    <w:rsid w:val="005B79CA"/>
    <w:rsid w:val="005C1180"/>
    <w:rsid w:val="005C1A9A"/>
    <w:rsid w:val="005C20FF"/>
    <w:rsid w:val="005C2102"/>
    <w:rsid w:val="005C2A39"/>
    <w:rsid w:val="005C311A"/>
    <w:rsid w:val="005C378D"/>
    <w:rsid w:val="005C445F"/>
    <w:rsid w:val="005C4AC4"/>
    <w:rsid w:val="005C4ADC"/>
    <w:rsid w:val="005C5EFA"/>
    <w:rsid w:val="005C632C"/>
    <w:rsid w:val="005C647F"/>
    <w:rsid w:val="005C6ACF"/>
    <w:rsid w:val="005D1635"/>
    <w:rsid w:val="005D1B9A"/>
    <w:rsid w:val="005D2842"/>
    <w:rsid w:val="005D29C8"/>
    <w:rsid w:val="005D2DE5"/>
    <w:rsid w:val="005D3303"/>
    <w:rsid w:val="005D4D41"/>
    <w:rsid w:val="005D6253"/>
    <w:rsid w:val="005D7FB5"/>
    <w:rsid w:val="005E0498"/>
    <w:rsid w:val="005E0793"/>
    <w:rsid w:val="005E250C"/>
    <w:rsid w:val="005E30E1"/>
    <w:rsid w:val="005E354F"/>
    <w:rsid w:val="005E3731"/>
    <w:rsid w:val="005E3C45"/>
    <w:rsid w:val="005E5F1F"/>
    <w:rsid w:val="005E62CA"/>
    <w:rsid w:val="005E64AC"/>
    <w:rsid w:val="005E6A63"/>
    <w:rsid w:val="005E6FBA"/>
    <w:rsid w:val="005F0BF8"/>
    <w:rsid w:val="005F18E9"/>
    <w:rsid w:val="005F1D02"/>
    <w:rsid w:val="005F395A"/>
    <w:rsid w:val="005F3A35"/>
    <w:rsid w:val="005F466B"/>
    <w:rsid w:val="005F48E0"/>
    <w:rsid w:val="005F535A"/>
    <w:rsid w:val="005F5408"/>
    <w:rsid w:val="005F6A33"/>
    <w:rsid w:val="005F6CEF"/>
    <w:rsid w:val="005F76F2"/>
    <w:rsid w:val="005F7D6A"/>
    <w:rsid w:val="00600246"/>
    <w:rsid w:val="0060084F"/>
    <w:rsid w:val="006010B1"/>
    <w:rsid w:val="00601448"/>
    <w:rsid w:val="00602A31"/>
    <w:rsid w:val="00603A81"/>
    <w:rsid w:val="00603C2C"/>
    <w:rsid w:val="00604099"/>
    <w:rsid w:val="006044A4"/>
    <w:rsid w:val="00604E0A"/>
    <w:rsid w:val="00606556"/>
    <w:rsid w:val="00606616"/>
    <w:rsid w:val="00606742"/>
    <w:rsid w:val="0060674A"/>
    <w:rsid w:val="0060684E"/>
    <w:rsid w:val="00606918"/>
    <w:rsid w:val="00606C22"/>
    <w:rsid w:val="0060725E"/>
    <w:rsid w:val="006073CF"/>
    <w:rsid w:val="00610CE9"/>
    <w:rsid w:val="00610F80"/>
    <w:rsid w:val="00610F82"/>
    <w:rsid w:val="006110D9"/>
    <w:rsid w:val="006124C9"/>
    <w:rsid w:val="006125B8"/>
    <w:rsid w:val="00612C10"/>
    <w:rsid w:val="00613331"/>
    <w:rsid w:val="006153EC"/>
    <w:rsid w:val="00615C81"/>
    <w:rsid w:val="00616234"/>
    <w:rsid w:val="00616643"/>
    <w:rsid w:val="0061681E"/>
    <w:rsid w:val="00616DA6"/>
    <w:rsid w:val="00617121"/>
    <w:rsid w:val="00617AC7"/>
    <w:rsid w:val="00620276"/>
    <w:rsid w:val="00620EE6"/>
    <w:rsid w:val="0062116F"/>
    <w:rsid w:val="00622077"/>
    <w:rsid w:val="006225E3"/>
    <w:rsid w:val="0062306A"/>
    <w:rsid w:val="00623576"/>
    <w:rsid w:val="006249F8"/>
    <w:rsid w:val="00625150"/>
    <w:rsid w:val="00627CE1"/>
    <w:rsid w:val="0063018A"/>
    <w:rsid w:val="00630768"/>
    <w:rsid w:val="006327C5"/>
    <w:rsid w:val="00632BDC"/>
    <w:rsid w:val="00633DC4"/>
    <w:rsid w:val="0063513A"/>
    <w:rsid w:val="006355FC"/>
    <w:rsid w:val="00635618"/>
    <w:rsid w:val="00635720"/>
    <w:rsid w:val="0063590D"/>
    <w:rsid w:val="00635D86"/>
    <w:rsid w:val="00642425"/>
    <w:rsid w:val="006429D9"/>
    <w:rsid w:val="0064387A"/>
    <w:rsid w:val="00643B65"/>
    <w:rsid w:val="006446A3"/>
    <w:rsid w:val="006447F4"/>
    <w:rsid w:val="00644A9D"/>
    <w:rsid w:val="00644AC8"/>
    <w:rsid w:val="00644FE3"/>
    <w:rsid w:val="00645ABD"/>
    <w:rsid w:val="00646637"/>
    <w:rsid w:val="00646A5D"/>
    <w:rsid w:val="00646C3F"/>
    <w:rsid w:val="00647457"/>
    <w:rsid w:val="00647A5C"/>
    <w:rsid w:val="00647B7F"/>
    <w:rsid w:val="00647E31"/>
    <w:rsid w:val="0065032B"/>
    <w:rsid w:val="006507B1"/>
    <w:rsid w:val="006507BB"/>
    <w:rsid w:val="006517D6"/>
    <w:rsid w:val="00651C5E"/>
    <w:rsid w:val="00652C74"/>
    <w:rsid w:val="006531B4"/>
    <w:rsid w:val="00654312"/>
    <w:rsid w:val="00654E74"/>
    <w:rsid w:val="006551AA"/>
    <w:rsid w:val="006556E2"/>
    <w:rsid w:val="00656204"/>
    <w:rsid w:val="00656E26"/>
    <w:rsid w:val="0066000E"/>
    <w:rsid w:val="006618EA"/>
    <w:rsid w:val="00661929"/>
    <w:rsid w:val="00661D6E"/>
    <w:rsid w:val="00662A25"/>
    <w:rsid w:val="00662ACE"/>
    <w:rsid w:val="00663235"/>
    <w:rsid w:val="00664E93"/>
    <w:rsid w:val="00666B43"/>
    <w:rsid w:val="00666E7D"/>
    <w:rsid w:val="006710CA"/>
    <w:rsid w:val="006717CD"/>
    <w:rsid w:val="00671A9C"/>
    <w:rsid w:val="00672069"/>
    <w:rsid w:val="006726B4"/>
    <w:rsid w:val="00674490"/>
    <w:rsid w:val="00674D4B"/>
    <w:rsid w:val="006750E1"/>
    <w:rsid w:val="00675401"/>
    <w:rsid w:val="00675928"/>
    <w:rsid w:val="0067731A"/>
    <w:rsid w:val="006778A7"/>
    <w:rsid w:val="00677A6E"/>
    <w:rsid w:val="0068097B"/>
    <w:rsid w:val="00680DD9"/>
    <w:rsid w:val="00680F64"/>
    <w:rsid w:val="00681094"/>
    <w:rsid w:val="0068122E"/>
    <w:rsid w:val="00681335"/>
    <w:rsid w:val="006815CD"/>
    <w:rsid w:val="00682F75"/>
    <w:rsid w:val="00683098"/>
    <w:rsid w:val="00683112"/>
    <w:rsid w:val="00683D72"/>
    <w:rsid w:val="0068561E"/>
    <w:rsid w:val="0068653B"/>
    <w:rsid w:val="006866BC"/>
    <w:rsid w:val="006867D7"/>
    <w:rsid w:val="006869F2"/>
    <w:rsid w:val="0068731A"/>
    <w:rsid w:val="0069052E"/>
    <w:rsid w:val="00690C17"/>
    <w:rsid w:val="006911F3"/>
    <w:rsid w:val="00691219"/>
    <w:rsid w:val="006915C0"/>
    <w:rsid w:val="0069372B"/>
    <w:rsid w:val="00693742"/>
    <w:rsid w:val="006939FB"/>
    <w:rsid w:val="00693CE3"/>
    <w:rsid w:val="00693D43"/>
    <w:rsid w:val="0069558A"/>
    <w:rsid w:val="00696C7D"/>
    <w:rsid w:val="00697219"/>
    <w:rsid w:val="0069777A"/>
    <w:rsid w:val="00697D1B"/>
    <w:rsid w:val="006A0A7A"/>
    <w:rsid w:val="006A1554"/>
    <w:rsid w:val="006A1977"/>
    <w:rsid w:val="006A1B00"/>
    <w:rsid w:val="006A1B07"/>
    <w:rsid w:val="006A23CD"/>
    <w:rsid w:val="006A2650"/>
    <w:rsid w:val="006A2A55"/>
    <w:rsid w:val="006A2FFC"/>
    <w:rsid w:val="006A338F"/>
    <w:rsid w:val="006A3B60"/>
    <w:rsid w:val="006A46BE"/>
    <w:rsid w:val="006A550B"/>
    <w:rsid w:val="006A65AC"/>
    <w:rsid w:val="006A71C4"/>
    <w:rsid w:val="006A739A"/>
    <w:rsid w:val="006A7DFF"/>
    <w:rsid w:val="006B1027"/>
    <w:rsid w:val="006B3886"/>
    <w:rsid w:val="006B4003"/>
    <w:rsid w:val="006B43E5"/>
    <w:rsid w:val="006B4EEC"/>
    <w:rsid w:val="006B4F30"/>
    <w:rsid w:val="006B536F"/>
    <w:rsid w:val="006B586B"/>
    <w:rsid w:val="006B5950"/>
    <w:rsid w:val="006B5EC8"/>
    <w:rsid w:val="006B7D39"/>
    <w:rsid w:val="006C06C7"/>
    <w:rsid w:val="006C0BD7"/>
    <w:rsid w:val="006C18E4"/>
    <w:rsid w:val="006C388E"/>
    <w:rsid w:val="006C3A84"/>
    <w:rsid w:val="006C66B5"/>
    <w:rsid w:val="006C72A7"/>
    <w:rsid w:val="006C792C"/>
    <w:rsid w:val="006D10D5"/>
    <w:rsid w:val="006D1707"/>
    <w:rsid w:val="006D2044"/>
    <w:rsid w:val="006D2652"/>
    <w:rsid w:val="006D2EAC"/>
    <w:rsid w:val="006D2FED"/>
    <w:rsid w:val="006D3A5B"/>
    <w:rsid w:val="006D4BDA"/>
    <w:rsid w:val="006D54EF"/>
    <w:rsid w:val="006D55D5"/>
    <w:rsid w:val="006D5B88"/>
    <w:rsid w:val="006D5EE7"/>
    <w:rsid w:val="006D6848"/>
    <w:rsid w:val="006D6CE4"/>
    <w:rsid w:val="006D749B"/>
    <w:rsid w:val="006E0539"/>
    <w:rsid w:val="006E05F5"/>
    <w:rsid w:val="006E0731"/>
    <w:rsid w:val="006E1CA9"/>
    <w:rsid w:val="006E32CF"/>
    <w:rsid w:val="006E353C"/>
    <w:rsid w:val="006E4F73"/>
    <w:rsid w:val="006E589A"/>
    <w:rsid w:val="006E722B"/>
    <w:rsid w:val="006E7D08"/>
    <w:rsid w:val="006E7FDF"/>
    <w:rsid w:val="006F02A9"/>
    <w:rsid w:val="006F09E9"/>
    <w:rsid w:val="006F0A47"/>
    <w:rsid w:val="006F0D12"/>
    <w:rsid w:val="006F1041"/>
    <w:rsid w:val="006F1413"/>
    <w:rsid w:val="006F1608"/>
    <w:rsid w:val="006F2EA1"/>
    <w:rsid w:val="006F309A"/>
    <w:rsid w:val="006F3282"/>
    <w:rsid w:val="006F4D95"/>
    <w:rsid w:val="006F590B"/>
    <w:rsid w:val="006F5940"/>
    <w:rsid w:val="006F59DE"/>
    <w:rsid w:val="006F5DEC"/>
    <w:rsid w:val="006F682C"/>
    <w:rsid w:val="006F6B30"/>
    <w:rsid w:val="00700336"/>
    <w:rsid w:val="007011C8"/>
    <w:rsid w:val="007019E3"/>
    <w:rsid w:val="00701EBD"/>
    <w:rsid w:val="00702812"/>
    <w:rsid w:val="0070474C"/>
    <w:rsid w:val="00705E86"/>
    <w:rsid w:val="00705F8C"/>
    <w:rsid w:val="007068EC"/>
    <w:rsid w:val="00706943"/>
    <w:rsid w:val="00706E7A"/>
    <w:rsid w:val="00706FB7"/>
    <w:rsid w:val="00707AD0"/>
    <w:rsid w:val="0071057D"/>
    <w:rsid w:val="00710F4E"/>
    <w:rsid w:val="00711C88"/>
    <w:rsid w:val="007121FC"/>
    <w:rsid w:val="00712798"/>
    <w:rsid w:val="007129F9"/>
    <w:rsid w:val="00712BB5"/>
    <w:rsid w:val="00712F1B"/>
    <w:rsid w:val="00713100"/>
    <w:rsid w:val="00713596"/>
    <w:rsid w:val="007139AA"/>
    <w:rsid w:val="00713C33"/>
    <w:rsid w:val="00715B93"/>
    <w:rsid w:val="00716DB2"/>
    <w:rsid w:val="0072011E"/>
    <w:rsid w:val="00720536"/>
    <w:rsid w:val="00720B99"/>
    <w:rsid w:val="00720F80"/>
    <w:rsid w:val="00721021"/>
    <w:rsid w:val="0072292F"/>
    <w:rsid w:val="0072331E"/>
    <w:rsid w:val="00723B3A"/>
    <w:rsid w:val="007243F8"/>
    <w:rsid w:val="0072476D"/>
    <w:rsid w:val="00725CBF"/>
    <w:rsid w:val="00727E45"/>
    <w:rsid w:val="00730A2D"/>
    <w:rsid w:val="007311B2"/>
    <w:rsid w:val="007314E4"/>
    <w:rsid w:val="0073179E"/>
    <w:rsid w:val="00731C93"/>
    <w:rsid w:val="00732013"/>
    <w:rsid w:val="00732152"/>
    <w:rsid w:val="00732992"/>
    <w:rsid w:val="007335D5"/>
    <w:rsid w:val="00733896"/>
    <w:rsid w:val="0073523C"/>
    <w:rsid w:val="00735338"/>
    <w:rsid w:val="00736BDF"/>
    <w:rsid w:val="007374C0"/>
    <w:rsid w:val="0073788A"/>
    <w:rsid w:val="007401A8"/>
    <w:rsid w:val="00740300"/>
    <w:rsid w:val="00740580"/>
    <w:rsid w:val="00741FFB"/>
    <w:rsid w:val="00742267"/>
    <w:rsid w:val="00742C56"/>
    <w:rsid w:val="00742F08"/>
    <w:rsid w:val="00743486"/>
    <w:rsid w:val="007436FB"/>
    <w:rsid w:val="00744332"/>
    <w:rsid w:val="0074525C"/>
    <w:rsid w:val="00745732"/>
    <w:rsid w:val="00746E2B"/>
    <w:rsid w:val="0075189A"/>
    <w:rsid w:val="0075236D"/>
    <w:rsid w:val="007524F5"/>
    <w:rsid w:val="007536CF"/>
    <w:rsid w:val="007549A3"/>
    <w:rsid w:val="007557E8"/>
    <w:rsid w:val="00755B1F"/>
    <w:rsid w:val="00756B43"/>
    <w:rsid w:val="00757090"/>
    <w:rsid w:val="00757440"/>
    <w:rsid w:val="00760861"/>
    <w:rsid w:val="00760A41"/>
    <w:rsid w:val="00760EA4"/>
    <w:rsid w:val="007618EC"/>
    <w:rsid w:val="00762808"/>
    <w:rsid w:val="0076288F"/>
    <w:rsid w:val="00764918"/>
    <w:rsid w:val="00765D76"/>
    <w:rsid w:val="0076642B"/>
    <w:rsid w:val="00766499"/>
    <w:rsid w:val="007664D2"/>
    <w:rsid w:val="007665A5"/>
    <w:rsid w:val="00766A15"/>
    <w:rsid w:val="00766ED0"/>
    <w:rsid w:val="007675D9"/>
    <w:rsid w:val="007677A1"/>
    <w:rsid w:val="007708D2"/>
    <w:rsid w:val="0077099C"/>
    <w:rsid w:val="00770A56"/>
    <w:rsid w:val="00771AD8"/>
    <w:rsid w:val="00771B26"/>
    <w:rsid w:val="00771E2F"/>
    <w:rsid w:val="00772920"/>
    <w:rsid w:val="00773341"/>
    <w:rsid w:val="00773381"/>
    <w:rsid w:val="00773570"/>
    <w:rsid w:val="00774C48"/>
    <w:rsid w:val="00775964"/>
    <w:rsid w:val="00775B0E"/>
    <w:rsid w:val="00776EED"/>
    <w:rsid w:val="00780AB2"/>
    <w:rsid w:val="00781A13"/>
    <w:rsid w:val="00781CBB"/>
    <w:rsid w:val="00781F2D"/>
    <w:rsid w:val="007821E2"/>
    <w:rsid w:val="00782220"/>
    <w:rsid w:val="007833F8"/>
    <w:rsid w:val="00783939"/>
    <w:rsid w:val="007839BA"/>
    <w:rsid w:val="00783CB2"/>
    <w:rsid w:val="00783F9D"/>
    <w:rsid w:val="0078491C"/>
    <w:rsid w:val="00784A36"/>
    <w:rsid w:val="007854A6"/>
    <w:rsid w:val="007857B8"/>
    <w:rsid w:val="00785FE7"/>
    <w:rsid w:val="007864F9"/>
    <w:rsid w:val="00787817"/>
    <w:rsid w:val="007878E8"/>
    <w:rsid w:val="00787EA6"/>
    <w:rsid w:val="0079082B"/>
    <w:rsid w:val="007910AD"/>
    <w:rsid w:val="0079132B"/>
    <w:rsid w:val="00791CE8"/>
    <w:rsid w:val="0079260D"/>
    <w:rsid w:val="0079305A"/>
    <w:rsid w:val="00793C0D"/>
    <w:rsid w:val="007940CC"/>
    <w:rsid w:val="007946CF"/>
    <w:rsid w:val="007953AC"/>
    <w:rsid w:val="007954FE"/>
    <w:rsid w:val="00795565"/>
    <w:rsid w:val="00795C31"/>
    <w:rsid w:val="00796BC3"/>
    <w:rsid w:val="007970AC"/>
    <w:rsid w:val="007971C3"/>
    <w:rsid w:val="007979A0"/>
    <w:rsid w:val="00797E82"/>
    <w:rsid w:val="007A1CF7"/>
    <w:rsid w:val="007A1D17"/>
    <w:rsid w:val="007A3321"/>
    <w:rsid w:val="007A37F6"/>
    <w:rsid w:val="007A3A8B"/>
    <w:rsid w:val="007A4229"/>
    <w:rsid w:val="007A42B4"/>
    <w:rsid w:val="007A46F8"/>
    <w:rsid w:val="007A54E5"/>
    <w:rsid w:val="007A5D24"/>
    <w:rsid w:val="007A6093"/>
    <w:rsid w:val="007A7BD8"/>
    <w:rsid w:val="007B07B5"/>
    <w:rsid w:val="007B0DCA"/>
    <w:rsid w:val="007B12DE"/>
    <w:rsid w:val="007B1A9B"/>
    <w:rsid w:val="007B2A4F"/>
    <w:rsid w:val="007B2C2A"/>
    <w:rsid w:val="007B2E5C"/>
    <w:rsid w:val="007B2E9E"/>
    <w:rsid w:val="007B357A"/>
    <w:rsid w:val="007B3C1C"/>
    <w:rsid w:val="007B3E51"/>
    <w:rsid w:val="007B41C7"/>
    <w:rsid w:val="007B4B2D"/>
    <w:rsid w:val="007B513A"/>
    <w:rsid w:val="007B5A18"/>
    <w:rsid w:val="007C0CBC"/>
    <w:rsid w:val="007C10A5"/>
    <w:rsid w:val="007C1259"/>
    <w:rsid w:val="007C17B5"/>
    <w:rsid w:val="007C1ED8"/>
    <w:rsid w:val="007C2BA2"/>
    <w:rsid w:val="007C2BD9"/>
    <w:rsid w:val="007C2D25"/>
    <w:rsid w:val="007C345C"/>
    <w:rsid w:val="007C361B"/>
    <w:rsid w:val="007C393D"/>
    <w:rsid w:val="007C3C29"/>
    <w:rsid w:val="007C3DA6"/>
    <w:rsid w:val="007C498B"/>
    <w:rsid w:val="007C5069"/>
    <w:rsid w:val="007C551C"/>
    <w:rsid w:val="007C581A"/>
    <w:rsid w:val="007C5C09"/>
    <w:rsid w:val="007C5F17"/>
    <w:rsid w:val="007C6429"/>
    <w:rsid w:val="007C6A1C"/>
    <w:rsid w:val="007C73AA"/>
    <w:rsid w:val="007C7628"/>
    <w:rsid w:val="007C7F80"/>
    <w:rsid w:val="007D0158"/>
    <w:rsid w:val="007D10E2"/>
    <w:rsid w:val="007D1515"/>
    <w:rsid w:val="007D1A8F"/>
    <w:rsid w:val="007D1E9E"/>
    <w:rsid w:val="007D1F90"/>
    <w:rsid w:val="007D2A01"/>
    <w:rsid w:val="007D2B94"/>
    <w:rsid w:val="007D3782"/>
    <w:rsid w:val="007D391E"/>
    <w:rsid w:val="007D4990"/>
    <w:rsid w:val="007D4EFE"/>
    <w:rsid w:val="007D5A10"/>
    <w:rsid w:val="007D5A4F"/>
    <w:rsid w:val="007D6FA5"/>
    <w:rsid w:val="007D771E"/>
    <w:rsid w:val="007D7CD9"/>
    <w:rsid w:val="007E004F"/>
    <w:rsid w:val="007E012D"/>
    <w:rsid w:val="007E0A4C"/>
    <w:rsid w:val="007E1D99"/>
    <w:rsid w:val="007E1F81"/>
    <w:rsid w:val="007E2888"/>
    <w:rsid w:val="007E312B"/>
    <w:rsid w:val="007E3445"/>
    <w:rsid w:val="007E377F"/>
    <w:rsid w:val="007E3A43"/>
    <w:rsid w:val="007E3B4F"/>
    <w:rsid w:val="007E43BA"/>
    <w:rsid w:val="007E4755"/>
    <w:rsid w:val="007E49FD"/>
    <w:rsid w:val="007E57F4"/>
    <w:rsid w:val="007E5B19"/>
    <w:rsid w:val="007E6841"/>
    <w:rsid w:val="007E6F91"/>
    <w:rsid w:val="007E7165"/>
    <w:rsid w:val="007E7D4A"/>
    <w:rsid w:val="007E7F9C"/>
    <w:rsid w:val="007F020C"/>
    <w:rsid w:val="007F17F5"/>
    <w:rsid w:val="007F250D"/>
    <w:rsid w:val="007F35E0"/>
    <w:rsid w:val="007F435F"/>
    <w:rsid w:val="007F4D69"/>
    <w:rsid w:val="007F537E"/>
    <w:rsid w:val="007F61E8"/>
    <w:rsid w:val="007F6B86"/>
    <w:rsid w:val="007F70B7"/>
    <w:rsid w:val="007F7D9A"/>
    <w:rsid w:val="00800B39"/>
    <w:rsid w:val="00800B3E"/>
    <w:rsid w:val="00800BDE"/>
    <w:rsid w:val="00800CE0"/>
    <w:rsid w:val="008017EC"/>
    <w:rsid w:val="00801CF5"/>
    <w:rsid w:val="0080236E"/>
    <w:rsid w:val="008039AA"/>
    <w:rsid w:val="00805341"/>
    <w:rsid w:val="0080566E"/>
    <w:rsid w:val="00805A74"/>
    <w:rsid w:val="00806273"/>
    <w:rsid w:val="00806926"/>
    <w:rsid w:val="00807298"/>
    <w:rsid w:val="00807366"/>
    <w:rsid w:val="00807A35"/>
    <w:rsid w:val="00807A79"/>
    <w:rsid w:val="008107E2"/>
    <w:rsid w:val="00810D8D"/>
    <w:rsid w:val="00810EA4"/>
    <w:rsid w:val="00810F2D"/>
    <w:rsid w:val="0081129F"/>
    <w:rsid w:val="0081167B"/>
    <w:rsid w:val="008124F2"/>
    <w:rsid w:val="00812F56"/>
    <w:rsid w:val="008130D5"/>
    <w:rsid w:val="0081354F"/>
    <w:rsid w:val="00813B16"/>
    <w:rsid w:val="0081511B"/>
    <w:rsid w:val="00815339"/>
    <w:rsid w:val="00815A88"/>
    <w:rsid w:val="00815AE0"/>
    <w:rsid w:val="008163C7"/>
    <w:rsid w:val="008166B4"/>
    <w:rsid w:val="008167D0"/>
    <w:rsid w:val="00816FCE"/>
    <w:rsid w:val="00817BE2"/>
    <w:rsid w:val="00817D9C"/>
    <w:rsid w:val="00820058"/>
    <w:rsid w:val="008202C6"/>
    <w:rsid w:val="00820617"/>
    <w:rsid w:val="0082062C"/>
    <w:rsid w:val="008206AD"/>
    <w:rsid w:val="00820D09"/>
    <w:rsid w:val="00821868"/>
    <w:rsid w:val="00821BE9"/>
    <w:rsid w:val="00821E72"/>
    <w:rsid w:val="00822E40"/>
    <w:rsid w:val="0082300B"/>
    <w:rsid w:val="0082321D"/>
    <w:rsid w:val="00823934"/>
    <w:rsid w:val="00823B0D"/>
    <w:rsid w:val="00823D7F"/>
    <w:rsid w:val="00825E62"/>
    <w:rsid w:val="00825F00"/>
    <w:rsid w:val="008265C2"/>
    <w:rsid w:val="00826AB1"/>
    <w:rsid w:val="00826B35"/>
    <w:rsid w:val="00827884"/>
    <w:rsid w:val="008301DE"/>
    <w:rsid w:val="0083030D"/>
    <w:rsid w:val="008306B8"/>
    <w:rsid w:val="008308A5"/>
    <w:rsid w:val="00833141"/>
    <w:rsid w:val="00833652"/>
    <w:rsid w:val="008337FA"/>
    <w:rsid w:val="00833883"/>
    <w:rsid w:val="00833FB0"/>
    <w:rsid w:val="008341F2"/>
    <w:rsid w:val="008347EF"/>
    <w:rsid w:val="0083496F"/>
    <w:rsid w:val="00835622"/>
    <w:rsid w:val="00835FDF"/>
    <w:rsid w:val="008366B7"/>
    <w:rsid w:val="00837312"/>
    <w:rsid w:val="00840EAF"/>
    <w:rsid w:val="00841252"/>
    <w:rsid w:val="00841AA4"/>
    <w:rsid w:val="008423F6"/>
    <w:rsid w:val="008435CE"/>
    <w:rsid w:val="008439F3"/>
    <w:rsid w:val="0084454B"/>
    <w:rsid w:val="00844E33"/>
    <w:rsid w:val="008455B5"/>
    <w:rsid w:val="008455B7"/>
    <w:rsid w:val="00845605"/>
    <w:rsid w:val="00846F7C"/>
    <w:rsid w:val="00850DCC"/>
    <w:rsid w:val="00850F28"/>
    <w:rsid w:val="0085300E"/>
    <w:rsid w:val="008530DC"/>
    <w:rsid w:val="00853DC8"/>
    <w:rsid w:val="00854112"/>
    <w:rsid w:val="008548A6"/>
    <w:rsid w:val="008549DB"/>
    <w:rsid w:val="00854F7F"/>
    <w:rsid w:val="00855AD8"/>
    <w:rsid w:val="0085624C"/>
    <w:rsid w:val="008564C8"/>
    <w:rsid w:val="00856C71"/>
    <w:rsid w:val="00856EF7"/>
    <w:rsid w:val="008572D6"/>
    <w:rsid w:val="00860E84"/>
    <w:rsid w:val="00861B47"/>
    <w:rsid w:val="008628BD"/>
    <w:rsid w:val="008633AB"/>
    <w:rsid w:val="008634BE"/>
    <w:rsid w:val="00863666"/>
    <w:rsid w:val="00863CD8"/>
    <w:rsid w:val="00863F93"/>
    <w:rsid w:val="008648C7"/>
    <w:rsid w:val="00864906"/>
    <w:rsid w:val="008649F5"/>
    <w:rsid w:val="00865C1A"/>
    <w:rsid w:val="00866387"/>
    <w:rsid w:val="008669B7"/>
    <w:rsid w:val="00866D50"/>
    <w:rsid w:val="0087076F"/>
    <w:rsid w:val="0087102B"/>
    <w:rsid w:val="00871292"/>
    <w:rsid w:val="008715E6"/>
    <w:rsid w:val="0087196D"/>
    <w:rsid w:val="00871A32"/>
    <w:rsid w:val="008723AF"/>
    <w:rsid w:val="008739F7"/>
    <w:rsid w:val="00873CCE"/>
    <w:rsid w:val="008745B5"/>
    <w:rsid w:val="008748AD"/>
    <w:rsid w:val="00874C6B"/>
    <w:rsid w:val="00874DE2"/>
    <w:rsid w:val="00876D30"/>
    <w:rsid w:val="00876F53"/>
    <w:rsid w:val="0087725B"/>
    <w:rsid w:val="00877285"/>
    <w:rsid w:val="008776E9"/>
    <w:rsid w:val="00880470"/>
    <w:rsid w:val="008808ED"/>
    <w:rsid w:val="00882816"/>
    <w:rsid w:val="00882E30"/>
    <w:rsid w:val="00883F04"/>
    <w:rsid w:val="00884A07"/>
    <w:rsid w:val="008861B2"/>
    <w:rsid w:val="008872B2"/>
    <w:rsid w:val="00887312"/>
    <w:rsid w:val="00890348"/>
    <w:rsid w:val="008913F0"/>
    <w:rsid w:val="0089162A"/>
    <w:rsid w:val="008926AA"/>
    <w:rsid w:val="0089289D"/>
    <w:rsid w:val="00893F03"/>
    <w:rsid w:val="0089426C"/>
    <w:rsid w:val="008954E0"/>
    <w:rsid w:val="00895857"/>
    <w:rsid w:val="0089663D"/>
    <w:rsid w:val="00896BCC"/>
    <w:rsid w:val="00897959"/>
    <w:rsid w:val="00897AB2"/>
    <w:rsid w:val="00897BBA"/>
    <w:rsid w:val="00897F62"/>
    <w:rsid w:val="008A00F9"/>
    <w:rsid w:val="008A0C17"/>
    <w:rsid w:val="008A0F89"/>
    <w:rsid w:val="008A15C9"/>
    <w:rsid w:val="008A1F47"/>
    <w:rsid w:val="008A2B0A"/>
    <w:rsid w:val="008A2DB1"/>
    <w:rsid w:val="008A4140"/>
    <w:rsid w:val="008A4690"/>
    <w:rsid w:val="008A4C87"/>
    <w:rsid w:val="008A4E54"/>
    <w:rsid w:val="008A4FC8"/>
    <w:rsid w:val="008A5ADE"/>
    <w:rsid w:val="008A60D2"/>
    <w:rsid w:val="008A6293"/>
    <w:rsid w:val="008A6294"/>
    <w:rsid w:val="008A63B0"/>
    <w:rsid w:val="008A662F"/>
    <w:rsid w:val="008A7F58"/>
    <w:rsid w:val="008B0308"/>
    <w:rsid w:val="008B0549"/>
    <w:rsid w:val="008B0594"/>
    <w:rsid w:val="008B0AAD"/>
    <w:rsid w:val="008B1D93"/>
    <w:rsid w:val="008B1DEC"/>
    <w:rsid w:val="008B281A"/>
    <w:rsid w:val="008B29B6"/>
    <w:rsid w:val="008B46B2"/>
    <w:rsid w:val="008B47E2"/>
    <w:rsid w:val="008B4D6D"/>
    <w:rsid w:val="008B4DF4"/>
    <w:rsid w:val="008B538D"/>
    <w:rsid w:val="008B557A"/>
    <w:rsid w:val="008B5704"/>
    <w:rsid w:val="008B58C9"/>
    <w:rsid w:val="008B5B74"/>
    <w:rsid w:val="008B5E6A"/>
    <w:rsid w:val="008B5F54"/>
    <w:rsid w:val="008B601D"/>
    <w:rsid w:val="008B6096"/>
    <w:rsid w:val="008B6C6D"/>
    <w:rsid w:val="008B724E"/>
    <w:rsid w:val="008B7D64"/>
    <w:rsid w:val="008C066F"/>
    <w:rsid w:val="008C0B98"/>
    <w:rsid w:val="008C1BE3"/>
    <w:rsid w:val="008C1CEF"/>
    <w:rsid w:val="008C1FC8"/>
    <w:rsid w:val="008C29BB"/>
    <w:rsid w:val="008C35CC"/>
    <w:rsid w:val="008C3D34"/>
    <w:rsid w:val="008C3F9B"/>
    <w:rsid w:val="008C4283"/>
    <w:rsid w:val="008C44F5"/>
    <w:rsid w:val="008C487D"/>
    <w:rsid w:val="008C4969"/>
    <w:rsid w:val="008C4B71"/>
    <w:rsid w:val="008C526A"/>
    <w:rsid w:val="008C563C"/>
    <w:rsid w:val="008C68E7"/>
    <w:rsid w:val="008D038E"/>
    <w:rsid w:val="008D071A"/>
    <w:rsid w:val="008D1AF4"/>
    <w:rsid w:val="008D214A"/>
    <w:rsid w:val="008D2452"/>
    <w:rsid w:val="008D27B9"/>
    <w:rsid w:val="008D40EA"/>
    <w:rsid w:val="008D41B7"/>
    <w:rsid w:val="008D51DD"/>
    <w:rsid w:val="008D5260"/>
    <w:rsid w:val="008D54ED"/>
    <w:rsid w:val="008D5A08"/>
    <w:rsid w:val="008D5D1A"/>
    <w:rsid w:val="008D5DD7"/>
    <w:rsid w:val="008D61D5"/>
    <w:rsid w:val="008D6402"/>
    <w:rsid w:val="008D6F78"/>
    <w:rsid w:val="008D72A2"/>
    <w:rsid w:val="008D73B3"/>
    <w:rsid w:val="008D7B47"/>
    <w:rsid w:val="008E06F0"/>
    <w:rsid w:val="008E17EB"/>
    <w:rsid w:val="008E2676"/>
    <w:rsid w:val="008E26E8"/>
    <w:rsid w:val="008E2DC0"/>
    <w:rsid w:val="008E395D"/>
    <w:rsid w:val="008E3BFA"/>
    <w:rsid w:val="008E3D82"/>
    <w:rsid w:val="008E3F2A"/>
    <w:rsid w:val="008E41F0"/>
    <w:rsid w:val="008E4D35"/>
    <w:rsid w:val="008E4E0B"/>
    <w:rsid w:val="008E674A"/>
    <w:rsid w:val="008E72E4"/>
    <w:rsid w:val="008E7598"/>
    <w:rsid w:val="008F085B"/>
    <w:rsid w:val="008F09E3"/>
    <w:rsid w:val="008F0EDE"/>
    <w:rsid w:val="008F10EF"/>
    <w:rsid w:val="008F11DF"/>
    <w:rsid w:val="008F15C2"/>
    <w:rsid w:val="008F1EDC"/>
    <w:rsid w:val="008F2D2D"/>
    <w:rsid w:val="008F40F3"/>
    <w:rsid w:val="008F4CFC"/>
    <w:rsid w:val="008F5DEA"/>
    <w:rsid w:val="008F66B9"/>
    <w:rsid w:val="00900193"/>
    <w:rsid w:val="00900A51"/>
    <w:rsid w:val="00901C48"/>
    <w:rsid w:val="00903C43"/>
    <w:rsid w:val="00903EFC"/>
    <w:rsid w:val="00903FE1"/>
    <w:rsid w:val="00904A11"/>
    <w:rsid w:val="00904B18"/>
    <w:rsid w:val="0090612E"/>
    <w:rsid w:val="00906E19"/>
    <w:rsid w:val="00910940"/>
    <w:rsid w:val="00911774"/>
    <w:rsid w:val="009134C2"/>
    <w:rsid w:val="00913839"/>
    <w:rsid w:val="009161E6"/>
    <w:rsid w:val="00917529"/>
    <w:rsid w:val="00917B09"/>
    <w:rsid w:val="00917E52"/>
    <w:rsid w:val="00917FC7"/>
    <w:rsid w:val="009204A9"/>
    <w:rsid w:val="00920AD8"/>
    <w:rsid w:val="00922C11"/>
    <w:rsid w:val="00922F3A"/>
    <w:rsid w:val="00923223"/>
    <w:rsid w:val="00924B3A"/>
    <w:rsid w:val="00925131"/>
    <w:rsid w:val="00925171"/>
    <w:rsid w:val="00925B8C"/>
    <w:rsid w:val="00925D6D"/>
    <w:rsid w:val="00925F48"/>
    <w:rsid w:val="009262C0"/>
    <w:rsid w:val="00926871"/>
    <w:rsid w:val="00926CB9"/>
    <w:rsid w:val="00927130"/>
    <w:rsid w:val="0092754E"/>
    <w:rsid w:val="0092774C"/>
    <w:rsid w:val="00927A4A"/>
    <w:rsid w:val="00930918"/>
    <w:rsid w:val="00932252"/>
    <w:rsid w:val="009332BF"/>
    <w:rsid w:val="0093372C"/>
    <w:rsid w:val="009338B8"/>
    <w:rsid w:val="00933F71"/>
    <w:rsid w:val="00933FC8"/>
    <w:rsid w:val="00934571"/>
    <w:rsid w:val="00934C32"/>
    <w:rsid w:val="009350F6"/>
    <w:rsid w:val="009355A7"/>
    <w:rsid w:val="00937B2A"/>
    <w:rsid w:val="0094051B"/>
    <w:rsid w:val="00940622"/>
    <w:rsid w:val="00940F56"/>
    <w:rsid w:val="009410A7"/>
    <w:rsid w:val="00941941"/>
    <w:rsid w:val="00942129"/>
    <w:rsid w:val="0094241D"/>
    <w:rsid w:val="00943B08"/>
    <w:rsid w:val="00944077"/>
    <w:rsid w:val="009444C6"/>
    <w:rsid w:val="00944C14"/>
    <w:rsid w:val="00944DE2"/>
    <w:rsid w:val="009451F4"/>
    <w:rsid w:val="009452E2"/>
    <w:rsid w:val="00945A96"/>
    <w:rsid w:val="00945AB5"/>
    <w:rsid w:val="00945C16"/>
    <w:rsid w:val="00945C1A"/>
    <w:rsid w:val="009472BE"/>
    <w:rsid w:val="0094753B"/>
    <w:rsid w:val="00947611"/>
    <w:rsid w:val="00947852"/>
    <w:rsid w:val="009478BC"/>
    <w:rsid w:val="009479FC"/>
    <w:rsid w:val="00947C33"/>
    <w:rsid w:val="00947C5E"/>
    <w:rsid w:val="00950612"/>
    <w:rsid w:val="00950764"/>
    <w:rsid w:val="009514E0"/>
    <w:rsid w:val="00951B80"/>
    <w:rsid w:val="00951CCF"/>
    <w:rsid w:val="009524C1"/>
    <w:rsid w:val="00952936"/>
    <w:rsid w:val="00953835"/>
    <w:rsid w:val="00954525"/>
    <w:rsid w:val="009547C6"/>
    <w:rsid w:val="0095498E"/>
    <w:rsid w:val="009554F4"/>
    <w:rsid w:val="00955DD3"/>
    <w:rsid w:val="00956858"/>
    <w:rsid w:val="00956BBD"/>
    <w:rsid w:val="009573AF"/>
    <w:rsid w:val="009573F4"/>
    <w:rsid w:val="0095783D"/>
    <w:rsid w:val="00957A33"/>
    <w:rsid w:val="00960130"/>
    <w:rsid w:val="009604D8"/>
    <w:rsid w:val="009606D4"/>
    <w:rsid w:val="00961194"/>
    <w:rsid w:val="0096287A"/>
    <w:rsid w:val="00963A0A"/>
    <w:rsid w:val="009643EA"/>
    <w:rsid w:val="00965F55"/>
    <w:rsid w:val="00966488"/>
    <w:rsid w:val="00967645"/>
    <w:rsid w:val="009709A8"/>
    <w:rsid w:val="00971456"/>
    <w:rsid w:val="00971542"/>
    <w:rsid w:val="009717F0"/>
    <w:rsid w:val="00971BCF"/>
    <w:rsid w:val="009727BA"/>
    <w:rsid w:val="00973144"/>
    <w:rsid w:val="0097417F"/>
    <w:rsid w:val="00974A5F"/>
    <w:rsid w:val="00974DE4"/>
    <w:rsid w:val="00976BBA"/>
    <w:rsid w:val="00977624"/>
    <w:rsid w:val="00980A36"/>
    <w:rsid w:val="00980C90"/>
    <w:rsid w:val="0098118E"/>
    <w:rsid w:val="009817E6"/>
    <w:rsid w:val="00981822"/>
    <w:rsid w:val="00981D29"/>
    <w:rsid w:val="0098211A"/>
    <w:rsid w:val="00982591"/>
    <w:rsid w:val="0098269E"/>
    <w:rsid w:val="00982B9D"/>
    <w:rsid w:val="00982FB5"/>
    <w:rsid w:val="00983968"/>
    <w:rsid w:val="00983F26"/>
    <w:rsid w:val="009847BC"/>
    <w:rsid w:val="00985525"/>
    <w:rsid w:val="0098797B"/>
    <w:rsid w:val="00990178"/>
    <w:rsid w:val="009905B2"/>
    <w:rsid w:val="009905E0"/>
    <w:rsid w:val="00990F7E"/>
    <w:rsid w:val="00992607"/>
    <w:rsid w:val="00993359"/>
    <w:rsid w:val="00993D6F"/>
    <w:rsid w:val="00993F52"/>
    <w:rsid w:val="00994574"/>
    <w:rsid w:val="009950BD"/>
    <w:rsid w:val="00995DEE"/>
    <w:rsid w:val="00995E96"/>
    <w:rsid w:val="00996126"/>
    <w:rsid w:val="00996EBE"/>
    <w:rsid w:val="00997875"/>
    <w:rsid w:val="00997D4A"/>
    <w:rsid w:val="009A0BDF"/>
    <w:rsid w:val="009A0E32"/>
    <w:rsid w:val="009A1B54"/>
    <w:rsid w:val="009A232B"/>
    <w:rsid w:val="009A39D1"/>
    <w:rsid w:val="009A3AE4"/>
    <w:rsid w:val="009A3D33"/>
    <w:rsid w:val="009A467F"/>
    <w:rsid w:val="009A57DA"/>
    <w:rsid w:val="009A5A25"/>
    <w:rsid w:val="009A5D79"/>
    <w:rsid w:val="009A6591"/>
    <w:rsid w:val="009A6E28"/>
    <w:rsid w:val="009B0241"/>
    <w:rsid w:val="009B0428"/>
    <w:rsid w:val="009B0801"/>
    <w:rsid w:val="009B2F08"/>
    <w:rsid w:val="009B32B8"/>
    <w:rsid w:val="009B338C"/>
    <w:rsid w:val="009B4668"/>
    <w:rsid w:val="009B498A"/>
    <w:rsid w:val="009B4E68"/>
    <w:rsid w:val="009B5607"/>
    <w:rsid w:val="009B56A4"/>
    <w:rsid w:val="009B5FE0"/>
    <w:rsid w:val="009B65F9"/>
    <w:rsid w:val="009B67F7"/>
    <w:rsid w:val="009B684E"/>
    <w:rsid w:val="009C08C8"/>
    <w:rsid w:val="009C1EC2"/>
    <w:rsid w:val="009C26DF"/>
    <w:rsid w:val="009C29CF"/>
    <w:rsid w:val="009C36ED"/>
    <w:rsid w:val="009C3785"/>
    <w:rsid w:val="009C38D4"/>
    <w:rsid w:val="009C524C"/>
    <w:rsid w:val="009C5501"/>
    <w:rsid w:val="009C5A69"/>
    <w:rsid w:val="009C5EFF"/>
    <w:rsid w:val="009C61BD"/>
    <w:rsid w:val="009C70A4"/>
    <w:rsid w:val="009C7444"/>
    <w:rsid w:val="009C7EF8"/>
    <w:rsid w:val="009D005D"/>
    <w:rsid w:val="009D0CDA"/>
    <w:rsid w:val="009D1293"/>
    <w:rsid w:val="009D25B2"/>
    <w:rsid w:val="009D25F6"/>
    <w:rsid w:val="009D2962"/>
    <w:rsid w:val="009D2A23"/>
    <w:rsid w:val="009D2DF9"/>
    <w:rsid w:val="009D3C5A"/>
    <w:rsid w:val="009D3E96"/>
    <w:rsid w:val="009D422A"/>
    <w:rsid w:val="009D49FA"/>
    <w:rsid w:val="009D50C9"/>
    <w:rsid w:val="009D54FE"/>
    <w:rsid w:val="009D5CED"/>
    <w:rsid w:val="009D61E8"/>
    <w:rsid w:val="009D672E"/>
    <w:rsid w:val="009D7AD3"/>
    <w:rsid w:val="009E00A4"/>
    <w:rsid w:val="009E07C6"/>
    <w:rsid w:val="009E0806"/>
    <w:rsid w:val="009E1AE8"/>
    <w:rsid w:val="009E3760"/>
    <w:rsid w:val="009E4D2B"/>
    <w:rsid w:val="009E51B9"/>
    <w:rsid w:val="009E6CE9"/>
    <w:rsid w:val="009E71AC"/>
    <w:rsid w:val="009E76D5"/>
    <w:rsid w:val="009E7CCF"/>
    <w:rsid w:val="009F00C1"/>
    <w:rsid w:val="009F06E3"/>
    <w:rsid w:val="009F1095"/>
    <w:rsid w:val="009F1269"/>
    <w:rsid w:val="009F1347"/>
    <w:rsid w:val="009F1F31"/>
    <w:rsid w:val="009F285F"/>
    <w:rsid w:val="009F2CA0"/>
    <w:rsid w:val="009F358A"/>
    <w:rsid w:val="009F35D0"/>
    <w:rsid w:val="009F3C5F"/>
    <w:rsid w:val="009F4295"/>
    <w:rsid w:val="009F4346"/>
    <w:rsid w:val="009F4392"/>
    <w:rsid w:val="009F450F"/>
    <w:rsid w:val="009F4E1B"/>
    <w:rsid w:val="009F5217"/>
    <w:rsid w:val="009F5964"/>
    <w:rsid w:val="009F5ED6"/>
    <w:rsid w:val="009F606B"/>
    <w:rsid w:val="009F6DC1"/>
    <w:rsid w:val="009F708E"/>
    <w:rsid w:val="009F7E3C"/>
    <w:rsid w:val="00A000C8"/>
    <w:rsid w:val="00A010CE"/>
    <w:rsid w:val="00A0389C"/>
    <w:rsid w:val="00A03C76"/>
    <w:rsid w:val="00A03CD7"/>
    <w:rsid w:val="00A04D02"/>
    <w:rsid w:val="00A059AE"/>
    <w:rsid w:val="00A05AE8"/>
    <w:rsid w:val="00A0621C"/>
    <w:rsid w:val="00A06656"/>
    <w:rsid w:val="00A066BC"/>
    <w:rsid w:val="00A06793"/>
    <w:rsid w:val="00A06A36"/>
    <w:rsid w:val="00A06E2E"/>
    <w:rsid w:val="00A103AC"/>
    <w:rsid w:val="00A11EF1"/>
    <w:rsid w:val="00A1383A"/>
    <w:rsid w:val="00A13B32"/>
    <w:rsid w:val="00A14092"/>
    <w:rsid w:val="00A14FE1"/>
    <w:rsid w:val="00A15042"/>
    <w:rsid w:val="00A15429"/>
    <w:rsid w:val="00A15930"/>
    <w:rsid w:val="00A15C1A"/>
    <w:rsid w:val="00A16486"/>
    <w:rsid w:val="00A1701A"/>
    <w:rsid w:val="00A178DE"/>
    <w:rsid w:val="00A2038A"/>
    <w:rsid w:val="00A20B17"/>
    <w:rsid w:val="00A21E1F"/>
    <w:rsid w:val="00A222F6"/>
    <w:rsid w:val="00A22AE7"/>
    <w:rsid w:val="00A23023"/>
    <w:rsid w:val="00A231D4"/>
    <w:rsid w:val="00A238DC"/>
    <w:rsid w:val="00A242D5"/>
    <w:rsid w:val="00A24666"/>
    <w:rsid w:val="00A24E77"/>
    <w:rsid w:val="00A250CA"/>
    <w:rsid w:val="00A2591D"/>
    <w:rsid w:val="00A25927"/>
    <w:rsid w:val="00A25D69"/>
    <w:rsid w:val="00A26771"/>
    <w:rsid w:val="00A26E46"/>
    <w:rsid w:val="00A277B9"/>
    <w:rsid w:val="00A27EDA"/>
    <w:rsid w:val="00A3128C"/>
    <w:rsid w:val="00A312F6"/>
    <w:rsid w:val="00A31CED"/>
    <w:rsid w:val="00A32311"/>
    <w:rsid w:val="00A3240A"/>
    <w:rsid w:val="00A329D4"/>
    <w:rsid w:val="00A32EA6"/>
    <w:rsid w:val="00A3374F"/>
    <w:rsid w:val="00A3420E"/>
    <w:rsid w:val="00A3496A"/>
    <w:rsid w:val="00A35624"/>
    <w:rsid w:val="00A356AF"/>
    <w:rsid w:val="00A35A78"/>
    <w:rsid w:val="00A35BB3"/>
    <w:rsid w:val="00A35D1F"/>
    <w:rsid w:val="00A36AA0"/>
    <w:rsid w:val="00A376D9"/>
    <w:rsid w:val="00A42BBD"/>
    <w:rsid w:val="00A42D35"/>
    <w:rsid w:val="00A4468F"/>
    <w:rsid w:val="00A4527C"/>
    <w:rsid w:val="00A45C0B"/>
    <w:rsid w:val="00A45CEE"/>
    <w:rsid w:val="00A45E2A"/>
    <w:rsid w:val="00A462DB"/>
    <w:rsid w:val="00A47335"/>
    <w:rsid w:val="00A5057B"/>
    <w:rsid w:val="00A505BB"/>
    <w:rsid w:val="00A50791"/>
    <w:rsid w:val="00A50E50"/>
    <w:rsid w:val="00A5266E"/>
    <w:rsid w:val="00A52DC1"/>
    <w:rsid w:val="00A52DEB"/>
    <w:rsid w:val="00A52F97"/>
    <w:rsid w:val="00A534FE"/>
    <w:rsid w:val="00A53BE2"/>
    <w:rsid w:val="00A555A6"/>
    <w:rsid w:val="00A55D0A"/>
    <w:rsid w:val="00A56B24"/>
    <w:rsid w:val="00A60731"/>
    <w:rsid w:val="00A6074D"/>
    <w:rsid w:val="00A607E7"/>
    <w:rsid w:val="00A60B81"/>
    <w:rsid w:val="00A61259"/>
    <w:rsid w:val="00A618E7"/>
    <w:rsid w:val="00A61B37"/>
    <w:rsid w:val="00A6318C"/>
    <w:rsid w:val="00A63AE9"/>
    <w:rsid w:val="00A64104"/>
    <w:rsid w:val="00A649CD"/>
    <w:rsid w:val="00A64D71"/>
    <w:rsid w:val="00A64FD4"/>
    <w:rsid w:val="00A65291"/>
    <w:rsid w:val="00A66D64"/>
    <w:rsid w:val="00A66F3E"/>
    <w:rsid w:val="00A67170"/>
    <w:rsid w:val="00A67E99"/>
    <w:rsid w:val="00A700D4"/>
    <w:rsid w:val="00A70550"/>
    <w:rsid w:val="00A70792"/>
    <w:rsid w:val="00A709A6"/>
    <w:rsid w:val="00A7241A"/>
    <w:rsid w:val="00A73286"/>
    <w:rsid w:val="00A738A5"/>
    <w:rsid w:val="00A74CC3"/>
    <w:rsid w:val="00A74D6D"/>
    <w:rsid w:val="00A7520D"/>
    <w:rsid w:val="00A7561B"/>
    <w:rsid w:val="00A75916"/>
    <w:rsid w:val="00A75AEC"/>
    <w:rsid w:val="00A75C54"/>
    <w:rsid w:val="00A76EF4"/>
    <w:rsid w:val="00A7720A"/>
    <w:rsid w:val="00A7773E"/>
    <w:rsid w:val="00A80373"/>
    <w:rsid w:val="00A804BD"/>
    <w:rsid w:val="00A806AF"/>
    <w:rsid w:val="00A824D6"/>
    <w:rsid w:val="00A82DB2"/>
    <w:rsid w:val="00A840BD"/>
    <w:rsid w:val="00A84943"/>
    <w:rsid w:val="00A84E58"/>
    <w:rsid w:val="00A8593C"/>
    <w:rsid w:val="00A85B30"/>
    <w:rsid w:val="00A85C88"/>
    <w:rsid w:val="00A86C23"/>
    <w:rsid w:val="00A870BD"/>
    <w:rsid w:val="00A878DC"/>
    <w:rsid w:val="00A87A17"/>
    <w:rsid w:val="00A90F5A"/>
    <w:rsid w:val="00A914A9"/>
    <w:rsid w:val="00A9153E"/>
    <w:rsid w:val="00A92B3E"/>
    <w:rsid w:val="00A9383F"/>
    <w:rsid w:val="00A94326"/>
    <w:rsid w:val="00A95773"/>
    <w:rsid w:val="00A95B85"/>
    <w:rsid w:val="00A961ED"/>
    <w:rsid w:val="00A96622"/>
    <w:rsid w:val="00A97A70"/>
    <w:rsid w:val="00A97ECE"/>
    <w:rsid w:val="00AA00A6"/>
    <w:rsid w:val="00AA00E0"/>
    <w:rsid w:val="00AA154B"/>
    <w:rsid w:val="00AA1C14"/>
    <w:rsid w:val="00AA1E46"/>
    <w:rsid w:val="00AA2701"/>
    <w:rsid w:val="00AA3206"/>
    <w:rsid w:val="00AA47BD"/>
    <w:rsid w:val="00AA47F1"/>
    <w:rsid w:val="00AA4B02"/>
    <w:rsid w:val="00AA517F"/>
    <w:rsid w:val="00AA598A"/>
    <w:rsid w:val="00AA661C"/>
    <w:rsid w:val="00AA71D8"/>
    <w:rsid w:val="00AA7978"/>
    <w:rsid w:val="00AA7FBB"/>
    <w:rsid w:val="00AB07B7"/>
    <w:rsid w:val="00AB080F"/>
    <w:rsid w:val="00AB0A7A"/>
    <w:rsid w:val="00AB1644"/>
    <w:rsid w:val="00AB1793"/>
    <w:rsid w:val="00AB1F42"/>
    <w:rsid w:val="00AB3145"/>
    <w:rsid w:val="00AB4408"/>
    <w:rsid w:val="00AB5198"/>
    <w:rsid w:val="00AB527D"/>
    <w:rsid w:val="00AB5833"/>
    <w:rsid w:val="00AB5F26"/>
    <w:rsid w:val="00AB6996"/>
    <w:rsid w:val="00AB6D92"/>
    <w:rsid w:val="00AB6EE9"/>
    <w:rsid w:val="00AB7203"/>
    <w:rsid w:val="00AB7BE5"/>
    <w:rsid w:val="00AB7E6C"/>
    <w:rsid w:val="00AC1912"/>
    <w:rsid w:val="00AC1A3B"/>
    <w:rsid w:val="00AC1FC1"/>
    <w:rsid w:val="00AC208A"/>
    <w:rsid w:val="00AC2581"/>
    <w:rsid w:val="00AC2D4A"/>
    <w:rsid w:val="00AC2DD1"/>
    <w:rsid w:val="00AC32EF"/>
    <w:rsid w:val="00AC44B9"/>
    <w:rsid w:val="00AC4CE9"/>
    <w:rsid w:val="00AC4E1C"/>
    <w:rsid w:val="00AC590A"/>
    <w:rsid w:val="00AC6494"/>
    <w:rsid w:val="00AC6B0A"/>
    <w:rsid w:val="00AC70C2"/>
    <w:rsid w:val="00AC70EC"/>
    <w:rsid w:val="00AD081E"/>
    <w:rsid w:val="00AD0C29"/>
    <w:rsid w:val="00AD0ED5"/>
    <w:rsid w:val="00AD164D"/>
    <w:rsid w:val="00AD1982"/>
    <w:rsid w:val="00AD2F60"/>
    <w:rsid w:val="00AD32FB"/>
    <w:rsid w:val="00AD36F3"/>
    <w:rsid w:val="00AD3C89"/>
    <w:rsid w:val="00AD462B"/>
    <w:rsid w:val="00AD4E3C"/>
    <w:rsid w:val="00AD53E3"/>
    <w:rsid w:val="00AD5AF2"/>
    <w:rsid w:val="00AD5C15"/>
    <w:rsid w:val="00AD6947"/>
    <w:rsid w:val="00AE089C"/>
    <w:rsid w:val="00AE08B1"/>
    <w:rsid w:val="00AE12A0"/>
    <w:rsid w:val="00AE154D"/>
    <w:rsid w:val="00AE162B"/>
    <w:rsid w:val="00AE172C"/>
    <w:rsid w:val="00AE20B9"/>
    <w:rsid w:val="00AE36B6"/>
    <w:rsid w:val="00AE3877"/>
    <w:rsid w:val="00AE3917"/>
    <w:rsid w:val="00AE54A4"/>
    <w:rsid w:val="00AE63F7"/>
    <w:rsid w:val="00AE67E7"/>
    <w:rsid w:val="00AE6CD2"/>
    <w:rsid w:val="00AE76B8"/>
    <w:rsid w:val="00AE793F"/>
    <w:rsid w:val="00AE7D84"/>
    <w:rsid w:val="00AE7F40"/>
    <w:rsid w:val="00AF1B91"/>
    <w:rsid w:val="00AF354A"/>
    <w:rsid w:val="00AF5E18"/>
    <w:rsid w:val="00AF662F"/>
    <w:rsid w:val="00AF6788"/>
    <w:rsid w:val="00AF6A75"/>
    <w:rsid w:val="00AF7A46"/>
    <w:rsid w:val="00AF7A4E"/>
    <w:rsid w:val="00AF7E1C"/>
    <w:rsid w:val="00AF7F63"/>
    <w:rsid w:val="00B00CA0"/>
    <w:rsid w:val="00B01D22"/>
    <w:rsid w:val="00B028CB"/>
    <w:rsid w:val="00B02F5B"/>
    <w:rsid w:val="00B030B8"/>
    <w:rsid w:val="00B03210"/>
    <w:rsid w:val="00B03509"/>
    <w:rsid w:val="00B03AF3"/>
    <w:rsid w:val="00B04C5D"/>
    <w:rsid w:val="00B0544D"/>
    <w:rsid w:val="00B0561F"/>
    <w:rsid w:val="00B061CF"/>
    <w:rsid w:val="00B0654E"/>
    <w:rsid w:val="00B0732B"/>
    <w:rsid w:val="00B075EB"/>
    <w:rsid w:val="00B104BC"/>
    <w:rsid w:val="00B11535"/>
    <w:rsid w:val="00B11EC4"/>
    <w:rsid w:val="00B126C5"/>
    <w:rsid w:val="00B12E5D"/>
    <w:rsid w:val="00B13DA3"/>
    <w:rsid w:val="00B1433A"/>
    <w:rsid w:val="00B143AF"/>
    <w:rsid w:val="00B150E2"/>
    <w:rsid w:val="00B152F6"/>
    <w:rsid w:val="00B15585"/>
    <w:rsid w:val="00B15D4A"/>
    <w:rsid w:val="00B16179"/>
    <w:rsid w:val="00B179F3"/>
    <w:rsid w:val="00B17A0D"/>
    <w:rsid w:val="00B2001C"/>
    <w:rsid w:val="00B201B6"/>
    <w:rsid w:val="00B206A2"/>
    <w:rsid w:val="00B214B1"/>
    <w:rsid w:val="00B21E5A"/>
    <w:rsid w:val="00B2251D"/>
    <w:rsid w:val="00B22CFC"/>
    <w:rsid w:val="00B22F42"/>
    <w:rsid w:val="00B23192"/>
    <w:rsid w:val="00B23499"/>
    <w:rsid w:val="00B238E3"/>
    <w:rsid w:val="00B23CA1"/>
    <w:rsid w:val="00B2412E"/>
    <w:rsid w:val="00B24698"/>
    <w:rsid w:val="00B251A5"/>
    <w:rsid w:val="00B25CAB"/>
    <w:rsid w:val="00B26083"/>
    <w:rsid w:val="00B261AA"/>
    <w:rsid w:val="00B26C71"/>
    <w:rsid w:val="00B300F0"/>
    <w:rsid w:val="00B307A6"/>
    <w:rsid w:val="00B307FB"/>
    <w:rsid w:val="00B32147"/>
    <w:rsid w:val="00B3282D"/>
    <w:rsid w:val="00B32EA8"/>
    <w:rsid w:val="00B338E0"/>
    <w:rsid w:val="00B34495"/>
    <w:rsid w:val="00B34B31"/>
    <w:rsid w:val="00B34C37"/>
    <w:rsid w:val="00B358A9"/>
    <w:rsid w:val="00B35B64"/>
    <w:rsid w:val="00B36753"/>
    <w:rsid w:val="00B3688E"/>
    <w:rsid w:val="00B375D3"/>
    <w:rsid w:val="00B37B31"/>
    <w:rsid w:val="00B40225"/>
    <w:rsid w:val="00B40CF4"/>
    <w:rsid w:val="00B40EBE"/>
    <w:rsid w:val="00B42E51"/>
    <w:rsid w:val="00B435D8"/>
    <w:rsid w:val="00B44CBC"/>
    <w:rsid w:val="00B453ED"/>
    <w:rsid w:val="00B45FFE"/>
    <w:rsid w:val="00B46632"/>
    <w:rsid w:val="00B4737F"/>
    <w:rsid w:val="00B47507"/>
    <w:rsid w:val="00B47767"/>
    <w:rsid w:val="00B4784B"/>
    <w:rsid w:val="00B4791E"/>
    <w:rsid w:val="00B47CB5"/>
    <w:rsid w:val="00B5042B"/>
    <w:rsid w:val="00B509AC"/>
    <w:rsid w:val="00B50B0D"/>
    <w:rsid w:val="00B50C77"/>
    <w:rsid w:val="00B51FF4"/>
    <w:rsid w:val="00B52737"/>
    <w:rsid w:val="00B52A2C"/>
    <w:rsid w:val="00B5412B"/>
    <w:rsid w:val="00B5493B"/>
    <w:rsid w:val="00B54A85"/>
    <w:rsid w:val="00B56454"/>
    <w:rsid w:val="00B566DA"/>
    <w:rsid w:val="00B56FAE"/>
    <w:rsid w:val="00B576D2"/>
    <w:rsid w:val="00B57BDB"/>
    <w:rsid w:val="00B6026C"/>
    <w:rsid w:val="00B61860"/>
    <w:rsid w:val="00B61D55"/>
    <w:rsid w:val="00B61E89"/>
    <w:rsid w:val="00B627D9"/>
    <w:rsid w:val="00B62AC4"/>
    <w:rsid w:val="00B62FD5"/>
    <w:rsid w:val="00B6329B"/>
    <w:rsid w:val="00B6409E"/>
    <w:rsid w:val="00B64BD2"/>
    <w:rsid w:val="00B64DD5"/>
    <w:rsid w:val="00B651D7"/>
    <w:rsid w:val="00B652CE"/>
    <w:rsid w:val="00B6537E"/>
    <w:rsid w:val="00B65D02"/>
    <w:rsid w:val="00B65E5B"/>
    <w:rsid w:val="00B660B8"/>
    <w:rsid w:val="00B665D5"/>
    <w:rsid w:val="00B671A3"/>
    <w:rsid w:val="00B67E93"/>
    <w:rsid w:val="00B7025E"/>
    <w:rsid w:val="00B7038E"/>
    <w:rsid w:val="00B7066B"/>
    <w:rsid w:val="00B70742"/>
    <w:rsid w:val="00B709F8"/>
    <w:rsid w:val="00B71E16"/>
    <w:rsid w:val="00B71FF5"/>
    <w:rsid w:val="00B72495"/>
    <w:rsid w:val="00B72B9A"/>
    <w:rsid w:val="00B747F7"/>
    <w:rsid w:val="00B74BD5"/>
    <w:rsid w:val="00B75708"/>
    <w:rsid w:val="00B75A49"/>
    <w:rsid w:val="00B767A7"/>
    <w:rsid w:val="00B76AD8"/>
    <w:rsid w:val="00B777EA"/>
    <w:rsid w:val="00B77927"/>
    <w:rsid w:val="00B80453"/>
    <w:rsid w:val="00B80C48"/>
    <w:rsid w:val="00B80D08"/>
    <w:rsid w:val="00B81F62"/>
    <w:rsid w:val="00B82ABF"/>
    <w:rsid w:val="00B82CDF"/>
    <w:rsid w:val="00B830CC"/>
    <w:rsid w:val="00B845FE"/>
    <w:rsid w:val="00B847E4"/>
    <w:rsid w:val="00B84C0C"/>
    <w:rsid w:val="00B84EA8"/>
    <w:rsid w:val="00B8511F"/>
    <w:rsid w:val="00B853AA"/>
    <w:rsid w:val="00B85A35"/>
    <w:rsid w:val="00B8660A"/>
    <w:rsid w:val="00B8686F"/>
    <w:rsid w:val="00B8704F"/>
    <w:rsid w:val="00B870FA"/>
    <w:rsid w:val="00B87903"/>
    <w:rsid w:val="00B902B7"/>
    <w:rsid w:val="00B911FB"/>
    <w:rsid w:val="00B91A18"/>
    <w:rsid w:val="00B92514"/>
    <w:rsid w:val="00B93805"/>
    <w:rsid w:val="00B93EC0"/>
    <w:rsid w:val="00B941FA"/>
    <w:rsid w:val="00B95383"/>
    <w:rsid w:val="00B95939"/>
    <w:rsid w:val="00B95B66"/>
    <w:rsid w:val="00B96245"/>
    <w:rsid w:val="00B96637"/>
    <w:rsid w:val="00B9699D"/>
    <w:rsid w:val="00B96EFD"/>
    <w:rsid w:val="00B97B7B"/>
    <w:rsid w:val="00B97BDF"/>
    <w:rsid w:val="00B97C90"/>
    <w:rsid w:val="00BA0D5B"/>
    <w:rsid w:val="00BA15AA"/>
    <w:rsid w:val="00BA1706"/>
    <w:rsid w:val="00BA1B4C"/>
    <w:rsid w:val="00BA25B7"/>
    <w:rsid w:val="00BA38C8"/>
    <w:rsid w:val="00BA3B11"/>
    <w:rsid w:val="00BA59B5"/>
    <w:rsid w:val="00BA712E"/>
    <w:rsid w:val="00BB021C"/>
    <w:rsid w:val="00BB0C14"/>
    <w:rsid w:val="00BB1282"/>
    <w:rsid w:val="00BB1EDE"/>
    <w:rsid w:val="00BB2ED1"/>
    <w:rsid w:val="00BB4107"/>
    <w:rsid w:val="00BB43FF"/>
    <w:rsid w:val="00BB4E19"/>
    <w:rsid w:val="00BB54CF"/>
    <w:rsid w:val="00BB5BAA"/>
    <w:rsid w:val="00BB5DEB"/>
    <w:rsid w:val="00BB689D"/>
    <w:rsid w:val="00BB6FE5"/>
    <w:rsid w:val="00BB72C1"/>
    <w:rsid w:val="00BC0CB6"/>
    <w:rsid w:val="00BC1495"/>
    <w:rsid w:val="00BC1680"/>
    <w:rsid w:val="00BC1B86"/>
    <w:rsid w:val="00BC2D3E"/>
    <w:rsid w:val="00BC3020"/>
    <w:rsid w:val="00BC31B6"/>
    <w:rsid w:val="00BC5069"/>
    <w:rsid w:val="00BC50C6"/>
    <w:rsid w:val="00BC5FA8"/>
    <w:rsid w:val="00BC60A3"/>
    <w:rsid w:val="00BC6126"/>
    <w:rsid w:val="00BC6395"/>
    <w:rsid w:val="00BC75A1"/>
    <w:rsid w:val="00BD006E"/>
    <w:rsid w:val="00BD141A"/>
    <w:rsid w:val="00BD3075"/>
    <w:rsid w:val="00BD39D1"/>
    <w:rsid w:val="00BD4282"/>
    <w:rsid w:val="00BD493D"/>
    <w:rsid w:val="00BD5440"/>
    <w:rsid w:val="00BD64F9"/>
    <w:rsid w:val="00BD6907"/>
    <w:rsid w:val="00BD7B9E"/>
    <w:rsid w:val="00BD7E34"/>
    <w:rsid w:val="00BE04DC"/>
    <w:rsid w:val="00BE0FD1"/>
    <w:rsid w:val="00BE185C"/>
    <w:rsid w:val="00BE1E19"/>
    <w:rsid w:val="00BE24A8"/>
    <w:rsid w:val="00BE310F"/>
    <w:rsid w:val="00BE3121"/>
    <w:rsid w:val="00BE32E1"/>
    <w:rsid w:val="00BE4653"/>
    <w:rsid w:val="00BE4ED5"/>
    <w:rsid w:val="00BE570C"/>
    <w:rsid w:val="00BE5AA4"/>
    <w:rsid w:val="00BE71E0"/>
    <w:rsid w:val="00BE7EEB"/>
    <w:rsid w:val="00BF08F5"/>
    <w:rsid w:val="00BF0FC2"/>
    <w:rsid w:val="00BF1588"/>
    <w:rsid w:val="00BF19E2"/>
    <w:rsid w:val="00BF28CC"/>
    <w:rsid w:val="00BF3634"/>
    <w:rsid w:val="00BF5008"/>
    <w:rsid w:val="00BF50E6"/>
    <w:rsid w:val="00BF5164"/>
    <w:rsid w:val="00BF51F4"/>
    <w:rsid w:val="00BF6D4E"/>
    <w:rsid w:val="00C00385"/>
    <w:rsid w:val="00C006B2"/>
    <w:rsid w:val="00C01895"/>
    <w:rsid w:val="00C0277B"/>
    <w:rsid w:val="00C0305B"/>
    <w:rsid w:val="00C03095"/>
    <w:rsid w:val="00C0339C"/>
    <w:rsid w:val="00C03784"/>
    <w:rsid w:val="00C04629"/>
    <w:rsid w:val="00C049F8"/>
    <w:rsid w:val="00C058D7"/>
    <w:rsid w:val="00C06051"/>
    <w:rsid w:val="00C06151"/>
    <w:rsid w:val="00C06A42"/>
    <w:rsid w:val="00C06BEA"/>
    <w:rsid w:val="00C06F0C"/>
    <w:rsid w:val="00C104B5"/>
    <w:rsid w:val="00C1105A"/>
    <w:rsid w:val="00C11AA5"/>
    <w:rsid w:val="00C11CEE"/>
    <w:rsid w:val="00C127BC"/>
    <w:rsid w:val="00C12B33"/>
    <w:rsid w:val="00C13743"/>
    <w:rsid w:val="00C14B49"/>
    <w:rsid w:val="00C14DD1"/>
    <w:rsid w:val="00C15D30"/>
    <w:rsid w:val="00C15F0D"/>
    <w:rsid w:val="00C1669A"/>
    <w:rsid w:val="00C16B6B"/>
    <w:rsid w:val="00C16B72"/>
    <w:rsid w:val="00C200F2"/>
    <w:rsid w:val="00C2042B"/>
    <w:rsid w:val="00C21442"/>
    <w:rsid w:val="00C215C5"/>
    <w:rsid w:val="00C218A6"/>
    <w:rsid w:val="00C21A86"/>
    <w:rsid w:val="00C22325"/>
    <w:rsid w:val="00C225B3"/>
    <w:rsid w:val="00C22851"/>
    <w:rsid w:val="00C238EC"/>
    <w:rsid w:val="00C249F0"/>
    <w:rsid w:val="00C253D0"/>
    <w:rsid w:val="00C2562A"/>
    <w:rsid w:val="00C26095"/>
    <w:rsid w:val="00C26F15"/>
    <w:rsid w:val="00C27A95"/>
    <w:rsid w:val="00C314E3"/>
    <w:rsid w:val="00C32B12"/>
    <w:rsid w:val="00C33639"/>
    <w:rsid w:val="00C336C2"/>
    <w:rsid w:val="00C34308"/>
    <w:rsid w:val="00C357FA"/>
    <w:rsid w:val="00C35823"/>
    <w:rsid w:val="00C35BB7"/>
    <w:rsid w:val="00C35E16"/>
    <w:rsid w:val="00C35FD8"/>
    <w:rsid w:val="00C36519"/>
    <w:rsid w:val="00C369CB"/>
    <w:rsid w:val="00C409FB"/>
    <w:rsid w:val="00C40EDD"/>
    <w:rsid w:val="00C417BE"/>
    <w:rsid w:val="00C41C34"/>
    <w:rsid w:val="00C41CD1"/>
    <w:rsid w:val="00C41ECD"/>
    <w:rsid w:val="00C421E7"/>
    <w:rsid w:val="00C424D0"/>
    <w:rsid w:val="00C4291D"/>
    <w:rsid w:val="00C4359C"/>
    <w:rsid w:val="00C437A6"/>
    <w:rsid w:val="00C437E5"/>
    <w:rsid w:val="00C4393E"/>
    <w:rsid w:val="00C43E14"/>
    <w:rsid w:val="00C43FB9"/>
    <w:rsid w:val="00C456A3"/>
    <w:rsid w:val="00C45F3D"/>
    <w:rsid w:val="00C473FC"/>
    <w:rsid w:val="00C476A9"/>
    <w:rsid w:val="00C479C8"/>
    <w:rsid w:val="00C47C2D"/>
    <w:rsid w:val="00C50259"/>
    <w:rsid w:val="00C50946"/>
    <w:rsid w:val="00C50C7A"/>
    <w:rsid w:val="00C5181E"/>
    <w:rsid w:val="00C51A9C"/>
    <w:rsid w:val="00C533EE"/>
    <w:rsid w:val="00C536B1"/>
    <w:rsid w:val="00C53843"/>
    <w:rsid w:val="00C546C7"/>
    <w:rsid w:val="00C54CE8"/>
    <w:rsid w:val="00C565E8"/>
    <w:rsid w:val="00C56611"/>
    <w:rsid w:val="00C56E50"/>
    <w:rsid w:val="00C570D7"/>
    <w:rsid w:val="00C57144"/>
    <w:rsid w:val="00C57358"/>
    <w:rsid w:val="00C57367"/>
    <w:rsid w:val="00C5775E"/>
    <w:rsid w:val="00C60205"/>
    <w:rsid w:val="00C6210D"/>
    <w:rsid w:val="00C62F3B"/>
    <w:rsid w:val="00C63C0D"/>
    <w:rsid w:val="00C644EA"/>
    <w:rsid w:val="00C64C2A"/>
    <w:rsid w:val="00C6575C"/>
    <w:rsid w:val="00C65A41"/>
    <w:rsid w:val="00C65D60"/>
    <w:rsid w:val="00C6636B"/>
    <w:rsid w:val="00C66A00"/>
    <w:rsid w:val="00C67B11"/>
    <w:rsid w:val="00C67E9E"/>
    <w:rsid w:val="00C70DD5"/>
    <w:rsid w:val="00C71217"/>
    <w:rsid w:val="00C71434"/>
    <w:rsid w:val="00C716DE"/>
    <w:rsid w:val="00C721A6"/>
    <w:rsid w:val="00C722AC"/>
    <w:rsid w:val="00C728BA"/>
    <w:rsid w:val="00C7295D"/>
    <w:rsid w:val="00C72BB5"/>
    <w:rsid w:val="00C72DFD"/>
    <w:rsid w:val="00C73253"/>
    <w:rsid w:val="00C73DE6"/>
    <w:rsid w:val="00C741FF"/>
    <w:rsid w:val="00C7477C"/>
    <w:rsid w:val="00C74EDD"/>
    <w:rsid w:val="00C750E6"/>
    <w:rsid w:val="00C75188"/>
    <w:rsid w:val="00C77363"/>
    <w:rsid w:val="00C80F1C"/>
    <w:rsid w:val="00C81F6A"/>
    <w:rsid w:val="00C81F8C"/>
    <w:rsid w:val="00C82447"/>
    <w:rsid w:val="00C8260C"/>
    <w:rsid w:val="00C82AC2"/>
    <w:rsid w:val="00C830D8"/>
    <w:rsid w:val="00C83395"/>
    <w:rsid w:val="00C8344B"/>
    <w:rsid w:val="00C83490"/>
    <w:rsid w:val="00C846DD"/>
    <w:rsid w:val="00C850FB"/>
    <w:rsid w:val="00C85585"/>
    <w:rsid w:val="00C860F0"/>
    <w:rsid w:val="00C862E2"/>
    <w:rsid w:val="00C8676B"/>
    <w:rsid w:val="00C874FA"/>
    <w:rsid w:val="00C87FA7"/>
    <w:rsid w:val="00C90BBB"/>
    <w:rsid w:val="00C90BE2"/>
    <w:rsid w:val="00C91827"/>
    <w:rsid w:val="00C91D30"/>
    <w:rsid w:val="00C91F8D"/>
    <w:rsid w:val="00C931F6"/>
    <w:rsid w:val="00C933BC"/>
    <w:rsid w:val="00C93D79"/>
    <w:rsid w:val="00C93DB1"/>
    <w:rsid w:val="00C94435"/>
    <w:rsid w:val="00C9459D"/>
    <w:rsid w:val="00C94B5D"/>
    <w:rsid w:val="00C9546E"/>
    <w:rsid w:val="00C9587D"/>
    <w:rsid w:val="00C9672A"/>
    <w:rsid w:val="00C967F1"/>
    <w:rsid w:val="00C977FF"/>
    <w:rsid w:val="00CA0013"/>
    <w:rsid w:val="00CA16A9"/>
    <w:rsid w:val="00CA1821"/>
    <w:rsid w:val="00CA1E2C"/>
    <w:rsid w:val="00CA291A"/>
    <w:rsid w:val="00CA3253"/>
    <w:rsid w:val="00CA34C5"/>
    <w:rsid w:val="00CA3535"/>
    <w:rsid w:val="00CA3F6F"/>
    <w:rsid w:val="00CA4094"/>
    <w:rsid w:val="00CA44D6"/>
    <w:rsid w:val="00CA4C4D"/>
    <w:rsid w:val="00CA54A5"/>
    <w:rsid w:val="00CA6B22"/>
    <w:rsid w:val="00CA6DF6"/>
    <w:rsid w:val="00CA71D5"/>
    <w:rsid w:val="00CA7ED0"/>
    <w:rsid w:val="00CA7F82"/>
    <w:rsid w:val="00CB0B18"/>
    <w:rsid w:val="00CB0B1B"/>
    <w:rsid w:val="00CB0BF4"/>
    <w:rsid w:val="00CB0E42"/>
    <w:rsid w:val="00CB1D62"/>
    <w:rsid w:val="00CB27E6"/>
    <w:rsid w:val="00CB4136"/>
    <w:rsid w:val="00CB4451"/>
    <w:rsid w:val="00CB5629"/>
    <w:rsid w:val="00CB5966"/>
    <w:rsid w:val="00CB675F"/>
    <w:rsid w:val="00CB6BCA"/>
    <w:rsid w:val="00CB6FA6"/>
    <w:rsid w:val="00CB7285"/>
    <w:rsid w:val="00CB7366"/>
    <w:rsid w:val="00CC0031"/>
    <w:rsid w:val="00CC0E7A"/>
    <w:rsid w:val="00CC0EB5"/>
    <w:rsid w:val="00CC11D9"/>
    <w:rsid w:val="00CC149B"/>
    <w:rsid w:val="00CC1626"/>
    <w:rsid w:val="00CC1CB6"/>
    <w:rsid w:val="00CC2303"/>
    <w:rsid w:val="00CC239B"/>
    <w:rsid w:val="00CC2D85"/>
    <w:rsid w:val="00CC3278"/>
    <w:rsid w:val="00CC3409"/>
    <w:rsid w:val="00CC46EB"/>
    <w:rsid w:val="00CC48E5"/>
    <w:rsid w:val="00CC52FF"/>
    <w:rsid w:val="00CC554B"/>
    <w:rsid w:val="00CC5C67"/>
    <w:rsid w:val="00CC5F71"/>
    <w:rsid w:val="00CC6D2E"/>
    <w:rsid w:val="00CC7056"/>
    <w:rsid w:val="00CC7A11"/>
    <w:rsid w:val="00CD0A8F"/>
    <w:rsid w:val="00CD0F86"/>
    <w:rsid w:val="00CD1504"/>
    <w:rsid w:val="00CD2AAE"/>
    <w:rsid w:val="00CD2D01"/>
    <w:rsid w:val="00CD329A"/>
    <w:rsid w:val="00CD377C"/>
    <w:rsid w:val="00CD432F"/>
    <w:rsid w:val="00CD4EFD"/>
    <w:rsid w:val="00CD543A"/>
    <w:rsid w:val="00CD5876"/>
    <w:rsid w:val="00CD5DC4"/>
    <w:rsid w:val="00CD5ED7"/>
    <w:rsid w:val="00CD652D"/>
    <w:rsid w:val="00CD74BE"/>
    <w:rsid w:val="00CD7C4B"/>
    <w:rsid w:val="00CD7DAF"/>
    <w:rsid w:val="00CD7EBD"/>
    <w:rsid w:val="00CE0D3E"/>
    <w:rsid w:val="00CE1101"/>
    <w:rsid w:val="00CE1FBA"/>
    <w:rsid w:val="00CE21A3"/>
    <w:rsid w:val="00CE32F7"/>
    <w:rsid w:val="00CE3D61"/>
    <w:rsid w:val="00CE48D5"/>
    <w:rsid w:val="00CE4FB1"/>
    <w:rsid w:val="00CE4FD0"/>
    <w:rsid w:val="00CE5CB0"/>
    <w:rsid w:val="00CE5EBD"/>
    <w:rsid w:val="00CE661B"/>
    <w:rsid w:val="00CE69BB"/>
    <w:rsid w:val="00CE6A7B"/>
    <w:rsid w:val="00CE6F22"/>
    <w:rsid w:val="00CE712C"/>
    <w:rsid w:val="00CE7464"/>
    <w:rsid w:val="00CF18AF"/>
    <w:rsid w:val="00CF2080"/>
    <w:rsid w:val="00CF21B9"/>
    <w:rsid w:val="00CF22C3"/>
    <w:rsid w:val="00CF39A1"/>
    <w:rsid w:val="00CF3A3C"/>
    <w:rsid w:val="00CF3FFB"/>
    <w:rsid w:val="00CF4423"/>
    <w:rsid w:val="00CF45C4"/>
    <w:rsid w:val="00CF4A7F"/>
    <w:rsid w:val="00CF4B5F"/>
    <w:rsid w:val="00CF4B75"/>
    <w:rsid w:val="00D000AB"/>
    <w:rsid w:val="00D0021C"/>
    <w:rsid w:val="00D0135C"/>
    <w:rsid w:val="00D018F7"/>
    <w:rsid w:val="00D0236C"/>
    <w:rsid w:val="00D02390"/>
    <w:rsid w:val="00D035A6"/>
    <w:rsid w:val="00D0366D"/>
    <w:rsid w:val="00D03743"/>
    <w:rsid w:val="00D04869"/>
    <w:rsid w:val="00D04AD8"/>
    <w:rsid w:val="00D04C78"/>
    <w:rsid w:val="00D052FC"/>
    <w:rsid w:val="00D059A1"/>
    <w:rsid w:val="00D05C17"/>
    <w:rsid w:val="00D06170"/>
    <w:rsid w:val="00D07863"/>
    <w:rsid w:val="00D11285"/>
    <w:rsid w:val="00D1304F"/>
    <w:rsid w:val="00D13268"/>
    <w:rsid w:val="00D134EB"/>
    <w:rsid w:val="00D139C3"/>
    <w:rsid w:val="00D13A23"/>
    <w:rsid w:val="00D14330"/>
    <w:rsid w:val="00D147A8"/>
    <w:rsid w:val="00D147DA"/>
    <w:rsid w:val="00D14E0C"/>
    <w:rsid w:val="00D1525B"/>
    <w:rsid w:val="00D152FC"/>
    <w:rsid w:val="00D15D52"/>
    <w:rsid w:val="00D16675"/>
    <w:rsid w:val="00D16E75"/>
    <w:rsid w:val="00D16ED8"/>
    <w:rsid w:val="00D1716D"/>
    <w:rsid w:val="00D17BFF"/>
    <w:rsid w:val="00D20A27"/>
    <w:rsid w:val="00D20CEC"/>
    <w:rsid w:val="00D20CF6"/>
    <w:rsid w:val="00D22FDB"/>
    <w:rsid w:val="00D235A1"/>
    <w:rsid w:val="00D23AA0"/>
    <w:rsid w:val="00D23EA7"/>
    <w:rsid w:val="00D2453A"/>
    <w:rsid w:val="00D24562"/>
    <w:rsid w:val="00D248F9"/>
    <w:rsid w:val="00D25230"/>
    <w:rsid w:val="00D2679E"/>
    <w:rsid w:val="00D26AFF"/>
    <w:rsid w:val="00D26FAD"/>
    <w:rsid w:val="00D27682"/>
    <w:rsid w:val="00D309A3"/>
    <w:rsid w:val="00D30B8E"/>
    <w:rsid w:val="00D31FE1"/>
    <w:rsid w:val="00D322E6"/>
    <w:rsid w:val="00D323A7"/>
    <w:rsid w:val="00D32BC2"/>
    <w:rsid w:val="00D33219"/>
    <w:rsid w:val="00D333AF"/>
    <w:rsid w:val="00D33536"/>
    <w:rsid w:val="00D34524"/>
    <w:rsid w:val="00D3480A"/>
    <w:rsid w:val="00D34D78"/>
    <w:rsid w:val="00D3539E"/>
    <w:rsid w:val="00D35EEC"/>
    <w:rsid w:val="00D3602D"/>
    <w:rsid w:val="00D364AB"/>
    <w:rsid w:val="00D366E4"/>
    <w:rsid w:val="00D3678C"/>
    <w:rsid w:val="00D4036E"/>
    <w:rsid w:val="00D4049E"/>
    <w:rsid w:val="00D4141A"/>
    <w:rsid w:val="00D41EE0"/>
    <w:rsid w:val="00D42189"/>
    <w:rsid w:val="00D42231"/>
    <w:rsid w:val="00D43050"/>
    <w:rsid w:val="00D4396B"/>
    <w:rsid w:val="00D43C6B"/>
    <w:rsid w:val="00D44D07"/>
    <w:rsid w:val="00D45304"/>
    <w:rsid w:val="00D45B50"/>
    <w:rsid w:val="00D467AB"/>
    <w:rsid w:val="00D47543"/>
    <w:rsid w:val="00D47DEF"/>
    <w:rsid w:val="00D5002D"/>
    <w:rsid w:val="00D50EAA"/>
    <w:rsid w:val="00D50FBF"/>
    <w:rsid w:val="00D5181D"/>
    <w:rsid w:val="00D51A5E"/>
    <w:rsid w:val="00D51B9A"/>
    <w:rsid w:val="00D51D7B"/>
    <w:rsid w:val="00D5213F"/>
    <w:rsid w:val="00D52CD1"/>
    <w:rsid w:val="00D54479"/>
    <w:rsid w:val="00D55586"/>
    <w:rsid w:val="00D557F0"/>
    <w:rsid w:val="00D5588B"/>
    <w:rsid w:val="00D55FCA"/>
    <w:rsid w:val="00D567C4"/>
    <w:rsid w:val="00D56906"/>
    <w:rsid w:val="00D56B13"/>
    <w:rsid w:val="00D576C5"/>
    <w:rsid w:val="00D57C87"/>
    <w:rsid w:val="00D57D6C"/>
    <w:rsid w:val="00D60A4D"/>
    <w:rsid w:val="00D610CD"/>
    <w:rsid w:val="00D61EFA"/>
    <w:rsid w:val="00D62249"/>
    <w:rsid w:val="00D62460"/>
    <w:rsid w:val="00D624FA"/>
    <w:rsid w:val="00D62B28"/>
    <w:rsid w:val="00D62CC4"/>
    <w:rsid w:val="00D63C4E"/>
    <w:rsid w:val="00D64D34"/>
    <w:rsid w:val="00D65062"/>
    <w:rsid w:val="00D650F8"/>
    <w:rsid w:val="00D6595F"/>
    <w:rsid w:val="00D659F8"/>
    <w:rsid w:val="00D65E78"/>
    <w:rsid w:val="00D66217"/>
    <w:rsid w:val="00D66CA4"/>
    <w:rsid w:val="00D67578"/>
    <w:rsid w:val="00D70BC8"/>
    <w:rsid w:val="00D70CFA"/>
    <w:rsid w:val="00D71874"/>
    <w:rsid w:val="00D728A8"/>
    <w:rsid w:val="00D72C59"/>
    <w:rsid w:val="00D72FE9"/>
    <w:rsid w:val="00D73033"/>
    <w:rsid w:val="00D73D75"/>
    <w:rsid w:val="00D74DC3"/>
    <w:rsid w:val="00D75BC2"/>
    <w:rsid w:val="00D76134"/>
    <w:rsid w:val="00D76BD2"/>
    <w:rsid w:val="00D77306"/>
    <w:rsid w:val="00D777DE"/>
    <w:rsid w:val="00D8057D"/>
    <w:rsid w:val="00D80DAC"/>
    <w:rsid w:val="00D8164C"/>
    <w:rsid w:val="00D81C01"/>
    <w:rsid w:val="00D8238D"/>
    <w:rsid w:val="00D82E10"/>
    <w:rsid w:val="00D83C3D"/>
    <w:rsid w:val="00D83CE8"/>
    <w:rsid w:val="00D84527"/>
    <w:rsid w:val="00D84AD0"/>
    <w:rsid w:val="00D84D26"/>
    <w:rsid w:val="00D84F58"/>
    <w:rsid w:val="00D857C2"/>
    <w:rsid w:val="00D85E84"/>
    <w:rsid w:val="00D866AB"/>
    <w:rsid w:val="00D87533"/>
    <w:rsid w:val="00D87681"/>
    <w:rsid w:val="00D87CB3"/>
    <w:rsid w:val="00D90260"/>
    <w:rsid w:val="00D906D0"/>
    <w:rsid w:val="00D90A23"/>
    <w:rsid w:val="00D9153B"/>
    <w:rsid w:val="00D917FC"/>
    <w:rsid w:val="00D91D66"/>
    <w:rsid w:val="00D920F2"/>
    <w:rsid w:val="00D9352F"/>
    <w:rsid w:val="00D93954"/>
    <w:rsid w:val="00D93EB4"/>
    <w:rsid w:val="00D9464C"/>
    <w:rsid w:val="00D955A2"/>
    <w:rsid w:val="00D95DC7"/>
    <w:rsid w:val="00D95F66"/>
    <w:rsid w:val="00D95FC4"/>
    <w:rsid w:val="00D96B70"/>
    <w:rsid w:val="00D970D6"/>
    <w:rsid w:val="00D9774B"/>
    <w:rsid w:val="00D978A7"/>
    <w:rsid w:val="00D97A86"/>
    <w:rsid w:val="00DA0017"/>
    <w:rsid w:val="00DA0059"/>
    <w:rsid w:val="00DA00FC"/>
    <w:rsid w:val="00DA0260"/>
    <w:rsid w:val="00DA033C"/>
    <w:rsid w:val="00DA0CA6"/>
    <w:rsid w:val="00DA0F9A"/>
    <w:rsid w:val="00DA37A5"/>
    <w:rsid w:val="00DA426D"/>
    <w:rsid w:val="00DA47F2"/>
    <w:rsid w:val="00DA4C53"/>
    <w:rsid w:val="00DA5022"/>
    <w:rsid w:val="00DA7339"/>
    <w:rsid w:val="00DA7DEC"/>
    <w:rsid w:val="00DB0499"/>
    <w:rsid w:val="00DB11B1"/>
    <w:rsid w:val="00DB199D"/>
    <w:rsid w:val="00DB2092"/>
    <w:rsid w:val="00DB21CD"/>
    <w:rsid w:val="00DB26B1"/>
    <w:rsid w:val="00DB2D72"/>
    <w:rsid w:val="00DB3153"/>
    <w:rsid w:val="00DB315C"/>
    <w:rsid w:val="00DB3777"/>
    <w:rsid w:val="00DB4591"/>
    <w:rsid w:val="00DB7196"/>
    <w:rsid w:val="00DC1AFD"/>
    <w:rsid w:val="00DC1F05"/>
    <w:rsid w:val="00DC3A2E"/>
    <w:rsid w:val="00DC3F94"/>
    <w:rsid w:val="00DC5E63"/>
    <w:rsid w:val="00DC66D1"/>
    <w:rsid w:val="00DC67EA"/>
    <w:rsid w:val="00DC6DF7"/>
    <w:rsid w:val="00DC6E2F"/>
    <w:rsid w:val="00DC7002"/>
    <w:rsid w:val="00DC7C74"/>
    <w:rsid w:val="00DD142A"/>
    <w:rsid w:val="00DD145B"/>
    <w:rsid w:val="00DD19A1"/>
    <w:rsid w:val="00DD1EAD"/>
    <w:rsid w:val="00DD3202"/>
    <w:rsid w:val="00DD39D1"/>
    <w:rsid w:val="00DD4C02"/>
    <w:rsid w:val="00DD4F49"/>
    <w:rsid w:val="00DD5507"/>
    <w:rsid w:val="00DD61B8"/>
    <w:rsid w:val="00DD6386"/>
    <w:rsid w:val="00DD6AEF"/>
    <w:rsid w:val="00DD7150"/>
    <w:rsid w:val="00DE1462"/>
    <w:rsid w:val="00DE19D8"/>
    <w:rsid w:val="00DE2345"/>
    <w:rsid w:val="00DE23E5"/>
    <w:rsid w:val="00DE31D8"/>
    <w:rsid w:val="00DE399C"/>
    <w:rsid w:val="00DE4FF4"/>
    <w:rsid w:val="00DE503E"/>
    <w:rsid w:val="00DE5268"/>
    <w:rsid w:val="00DE65FF"/>
    <w:rsid w:val="00DE6B7B"/>
    <w:rsid w:val="00DE6BC0"/>
    <w:rsid w:val="00DF1888"/>
    <w:rsid w:val="00DF1BFA"/>
    <w:rsid w:val="00DF28EB"/>
    <w:rsid w:val="00DF2C6C"/>
    <w:rsid w:val="00DF32AF"/>
    <w:rsid w:val="00DF349D"/>
    <w:rsid w:val="00DF4986"/>
    <w:rsid w:val="00DF777D"/>
    <w:rsid w:val="00E00967"/>
    <w:rsid w:val="00E00A7C"/>
    <w:rsid w:val="00E00DAE"/>
    <w:rsid w:val="00E01B00"/>
    <w:rsid w:val="00E01FD3"/>
    <w:rsid w:val="00E039BD"/>
    <w:rsid w:val="00E03D28"/>
    <w:rsid w:val="00E057C5"/>
    <w:rsid w:val="00E067E7"/>
    <w:rsid w:val="00E103A2"/>
    <w:rsid w:val="00E106E0"/>
    <w:rsid w:val="00E11196"/>
    <w:rsid w:val="00E116E8"/>
    <w:rsid w:val="00E118AB"/>
    <w:rsid w:val="00E11B63"/>
    <w:rsid w:val="00E127FD"/>
    <w:rsid w:val="00E12ED5"/>
    <w:rsid w:val="00E130DE"/>
    <w:rsid w:val="00E13767"/>
    <w:rsid w:val="00E1460A"/>
    <w:rsid w:val="00E1465D"/>
    <w:rsid w:val="00E149E4"/>
    <w:rsid w:val="00E14A71"/>
    <w:rsid w:val="00E14BCF"/>
    <w:rsid w:val="00E16889"/>
    <w:rsid w:val="00E17224"/>
    <w:rsid w:val="00E173B5"/>
    <w:rsid w:val="00E17EEA"/>
    <w:rsid w:val="00E20860"/>
    <w:rsid w:val="00E20BB5"/>
    <w:rsid w:val="00E2115A"/>
    <w:rsid w:val="00E213F5"/>
    <w:rsid w:val="00E21C74"/>
    <w:rsid w:val="00E21EA0"/>
    <w:rsid w:val="00E23015"/>
    <w:rsid w:val="00E24B07"/>
    <w:rsid w:val="00E24C2E"/>
    <w:rsid w:val="00E24F24"/>
    <w:rsid w:val="00E26601"/>
    <w:rsid w:val="00E27102"/>
    <w:rsid w:val="00E27455"/>
    <w:rsid w:val="00E274B8"/>
    <w:rsid w:val="00E27C17"/>
    <w:rsid w:val="00E27CC9"/>
    <w:rsid w:val="00E27DE9"/>
    <w:rsid w:val="00E31518"/>
    <w:rsid w:val="00E3156F"/>
    <w:rsid w:val="00E315C5"/>
    <w:rsid w:val="00E319C6"/>
    <w:rsid w:val="00E31D1B"/>
    <w:rsid w:val="00E31FB8"/>
    <w:rsid w:val="00E33B3B"/>
    <w:rsid w:val="00E343C7"/>
    <w:rsid w:val="00E34B16"/>
    <w:rsid w:val="00E3769F"/>
    <w:rsid w:val="00E40F9E"/>
    <w:rsid w:val="00E41891"/>
    <w:rsid w:val="00E42002"/>
    <w:rsid w:val="00E42170"/>
    <w:rsid w:val="00E42785"/>
    <w:rsid w:val="00E4333B"/>
    <w:rsid w:val="00E43804"/>
    <w:rsid w:val="00E448BC"/>
    <w:rsid w:val="00E45767"/>
    <w:rsid w:val="00E45A73"/>
    <w:rsid w:val="00E45DA2"/>
    <w:rsid w:val="00E46071"/>
    <w:rsid w:val="00E4647F"/>
    <w:rsid w:val="00E46DB0"/>
    <w:rsid w:val="00E47802"/>
    <w:rsid w:val="00E47A47"/>
    <w:rsid w:val="00E51A4F"/>
    <w:rsid w:val="00E51DF7"/>
    <w:rsid w:val="00E52C8D"/>
    <w:rsid w:val="00E5377A"/>
    <w:rsid w:val="00E55573"/>
    <w:rsid w:val="00E556AC"/>
    <w:rsid w:val="00E558B0"/>
    <w:rsid w:val="00E55AD7"/>
    <w:rsid w:val="00E55B25"/>
    <w:rsid w:val="00E55B94"/>
    <w:rsid w:val="00E56040"/>
    <w:rsid w:val="00E5649E"/>
    <w:rsid w:val="00E56A1D"/>
    <w:rsid w:val="00E56E3A"/>
    <w:rsid w:val="00E57096"/>
    <w:rsid w:val="00E60955"/>
    <w:rsid w:val="00E62767"/>
    <w:rsid w:val="00E6279E"/>
    <w:rsid w:val="00E62F50"/>
    <w:rsid w:val="00E6362B"/>
    <w:rsid w:val="00E63E9E"/>
    <w:rsid w:val="00E6401C"/>
    <w:rsid w:val="00E6452D"/>
    <w:rsid w:val="00E64C72"/>
    <w:rsid w:val="00E65C92"/>
    <w:rsid w:val="00E66576"/>
    <w:rsid w:val="00E669BF"/>
    <w:rsid w:val="00E66AC6"/>
    <w:rsid w:val="00E67A7A"/>
    <w:rsid w:val="00E67DD1"/>
    <w:rsid w:val="00E703E2"/>
    <w:rsid w:val="00E717A3"/>
    <w:rsid w:val="00E721D8"/>
    <w:rsid w:val="00E72374"/>
    <w:rsid w:val="00E73228"/>
    <w:rsid w:val="00E73297"/>
    <w:rsid w:val="00E74B3E"/>
    <w:rsid w:val="00E75F72"/>
    <w:rsid w:val="00E763B0"/>
    <w:rsid w:val="00E7670A"/>
    <w:rsid w:val="00E8060B"/>
    <w:rsid w:val="00E807FD"/>
    <w:rsid w:val="00E80910"/>
    <w:rsid w:val="00E81BEE"/>
    <w:rsid w:val="00E82733"/>
    <w:rsid w:val="00E82AC5"/>
    <w:rsid w:val="00E83285"/>
    <w:rsid w:val="00E83F56"/>
    <w:rsid w:val="00E84038"/>
    <w:rsid w:val="00E8439C"/>
    <w:rsid w:val="00E855C7"/>
    <w:rsid w:val="00E86459"/>
    <w:rsid w:val="00E86813"/>
    <w:rsid w:val="00E913C2"/>
    <w:rsid w:val="00E925C7"/>
    <w:rsid w:val="00E92CB5"/>
    <w:rsid w:val="00E93B7A"/>
    <w:rsid w:val="00E93DCF"/>
    <w:rsid w:val="00E941F3"/>
    <w:rsid w:val="00E943A2"/>
    <w:rsid w:val="00E95967"/>
    <w:rsid w:val="00E95B77"/>
    <w:rsid w:val="00E96574"/>
    <w:rsid w:val="00E9667E"/>
    <w:rsid w:val="00E97332"/>
    <w:rsid w:val="00E97A00"/>
    <w:rsid w:val="00EA0505"/>
    <w:rsid w:val="00EA065F"/>
    <w:rsid w:val="00EA12FD"/>
    <w:rsid w:val="00EA25BD"/>
    <w:rsid w:val="00EA3F80"/>
    <w:rsid w:val="00EA47B7"/>
    <w:rsid w:val="00EA4E9E"/>
    <w:rsid w:val="00EA5090"/>
    <w:rsid w:val="00EA51BE"/>
    <w:rsid w:val="00EA5D72"/>
    <w:rsid w:val="00EA6A8C"/>
    <w:rsid w:val="00EA74F8"/>
    <w:rsid w:val="00EB01ED"/>
    <w:rsid w:val="00EB047D"/>
    <w:rsid w:val="00EB0897"/>
    <w:rsid w:val="00EB2015"/>
    <w:rsid w:val="00EB2306"/>
    <w:rsid w:val="00EB28E8"/>
    <w:rsid w:val="00EB2988"/>
    <w:rsid w:val="00EB438C"/>
    <w:rsid w:val="00EB5710"/>
    <w:rsid w:val="00EB5F82"/>
    <w:rsid w:val="00EB6087"/>
    <w:rsid w:val="00EB6168"/>
    <w:rsid w:val="00EB677B"/>
    <w:rsid w:val="00EB7301"/>
    <w:rsid w:val="00EB75A9"/>
    <w:rsid w:val="00EC05E5"/>
    <w:rsid w:val="00EC0793"/>
    <w:rsid w:val="00EC0800"/>
    <w:rsid w:val="00EC084B"/>
    <w:rsid w:val="00EC09AA"/>
    <w:rsid w:val="00EC133C"/>
    <w:rsid w:val="00EC173C"/>
    <w:rsid w:val="00EC331C"/>
    <w:rsid w:val="00EC3465"/>
    <w:rsid w:val="00EC3539"/>
    <w:rsid w:val="00EC3AB5"/>
    <w:rsid w:val="00EC3F0E"/>
    <w:rsid w:val="00EC4C4F"/>
    <w:rsid w:val="00EC4EC4"/>
    <w:rsid w:val="00EC5F15"/>
    <w:rsid w:val="00EC6433"/>
    <w:rsid w:val="00EC6B84"/>
    <w:rsid w:val="00EC745D"/>
    <w:rsid w:val="00EC7815"/>
    <w:rsid w:val="00EC79B2"/>
    <w:rsid w:val="00EC7A8B"/>
    <w:rsid w:val="00EC7A94"/>
    <w:rsid w:val="00EC7D86"/>
    <w:rsid w:val="00EC7FB4"/>
    <w:rsid w:val="00ED0442"/>
    <w:rsid w:val="00ED0629"/>
    <w:rsid w:val="00ED0C59"/>
    <w:rsid w:val="00ED1A03"/>
    <w:rsid w:val="00ED1C73"/>
    <w:rsid w:val="00ED212D"/>
    <w:rsid w:val="00ED2182"/>
    <w:rsid w:val="00ED22FE"/>
    <w:rsid w:val="00ED2A78"/>
    <w:rsid w:val="00ED2D8C"/>
    <w:rsid w:val="00ED302B"/>
    <w:rsid w:val="00ED35B0"/>
    <w:rsid w:val="00ED37EC"/>
    <w:rsid w:val="00ED3F58"/>
    <w:rsid w:val="00ED4031"/>
    <w:rsid w:val="00ED4F1A"/>
    <w:rsid w:val="00ED5CB4"/>
    <w:rsid w:val="00ED6638"/>
    <w:rsid w:val="00ED667B"/>
    <w:rsid w:val="00ED764A"/>
    <w:rsid w:val="00EE01EF"/>
    <w:rsid w:val="00EE06A0"/>
    <w:rsid w:val="00EE0DDE"/>
    <w:rsid w:val="00EE1263"/>
    <w:rsid w:val="00EE1276"/>
    <w:rsid w:val="00EE222B"/>
    <w:rsid w:val="00EE2C31"/>
    <w:rsid w:val="00EE2E03"/>
    <w:rsid w:val="00EE310C"/>
    <w:rsid w:val="00EE3190"/>
    <w:rsid w:val="00EE59A5"/>
    <w:rsid w:val="00EE67C5"/>
    <w:rsid w:val="00EE7057"/>
    <w:rsid w:val="00EE70C9"/>
    <w:rsid w:val="00EE7E9D"/>
    <w:rsid w:val="00EE7F7C"/>
    <w:rsid w:val="00EF02EF"/>
    <w:rsid w:val="00EF0A28"/>
    <w:rsid w:val="00EF11DC"/>
    <w:rsid w:val="00EF17E8"/>
    <w:rsid w:val="00EF357B"/>
    <w:rsid w:val="00EF4111"/>
    <w:rsid w:val="00EF41C2"/>
    <w:rsid w:val="00EF4638"/>
    <w:rsid w:val="00EF4C72"/>
    <w:rsid w:val="00EF5466"/>
    <w:rsid w:val="00EF54B4"/>
    <w:rsid w:val="00EF557B"/>
    <w:rsid w:val="00EF5757"/>
    <w:rsid w:val="00EF64FD"/>
    <w:rsid w:val="00EF6B84"/>
    <w:rsid w:val="00EF73C6"/>
    <w:rsid w:val="00EF79D4"/>
    <w:rsid w:val="00F0059D"/>
    <w:rsid w:val="00F00D2A"/>
    <w:rsid w:val="00F018C1"/>
    <w:rsid w:val="00F01936"/>
    <w:rsid w:val="00F01E4B"/>
    <w:rsid w:val="00F02429"/>
    <w:rsid w:val="00F0334C"/>
    <w:rsid w:val="00F057B7"/>
    <w:rsid w:val="00F05BCD"/>
    <w:rsid w:val="00F06B14"/>
    <w:rsid w:val="00F06C2E"/>
    <w:rsid w:val="00F074A8"/>
    <w:rsid w:val="00F103ED"/>
    <w:rsid w:val="00F1069A"/>
    <w:rsid w:val="00F1079F"/>
    <w:rsid w:val="00F10C25"/>
    <w:rsid w:val="00F118FA"/>
    <w:rsid w:val="00F11C30"/>
    <w:rsid w:val="00F11D6E"/>
    <w:rsid w:val="00F13838"/>
    <w:rsid w:val="00F13927"/>
    <w:rsid w:val="00F14016"/>
    <w:rsid w:val="00F14E92"/>
    <w:rsid w:val="00F15856"/>
    <w:rsid w:val="00F15FCE"/>
    <w:rsid w:val="00F16823"/>
    <w:rsid w:val="00F16DEC"/>
    <w:rsid w:val="00F17630"/>
    <w:rsid w:val="00F203D1"/>
    <w:rsid w:val="00F2143B"/>
    <w:rsid w:val="00F21F71"/>
    <w:rsid w:val="00F22682"/>
    <w:rsid w:val="00F23342"/>
    <w:rsid w:val="00F239F9"/>
    <w:rsid w:val="00F23C6E"/>
    <w:rsid w:val="00F24139"/>
    <w:rsid w:val="00F24185"/>
    <w:rsid w:val="00F25A08"/>
    <w:rsid w:val="00F260B3"/>
    <w:rsid w:val="00F307D1"/>
    <w:rsid w:val="00F307DE"/>
    <w:rsid w:val="00F309B4"/>
    <w:rsid w:val="00F30B5F"/>
    <w:rsid w:val="00F31068"/>
    <w:rsid w:val="00F31270"/>
    <w:rsid w:val="00F312B5"/>
    <w:rsid w:val="00F33362"/>
    <w:rsid w:val="00F33385"/>
    <w:rsid w:val="00F343DD"/>
    <w:rsid w:val="00F35B77"/>
    <w:rsid w:val="00F370EA"/>
    <w:rsid w:val="00F37334"/>
    <w:rsid w:val="00F376C6"/>
    <w:rsid w:val="00F4044C"/>
    <w:rsid w:val="00F40B79"/>
    <w:rsid w:val="00F40C8B"/>
    <w:rsid w:val="00F40F5F"/>
    <w:rsid w:val="00F416B6"/>
    <w:rsid w:val="00F43E79"/>
    <w:rsid w:val="00F4480C"/>
    <w:rsid w:val="00F458A4"/>
    <w:rsid w:val="00F459B2"/>
    <w:rsid w:val="00F45C78"/>
    <w:rsid w:val="00F4636E"/>
    <w:rsid w:val="00F46525"/>
    <w:rsid w:val="00F47025"/>
    <w:rsid w:val="00F51023"/>
    <w:rsid w:val="00F5115D"/>
    <w:rsid w:val="00F52B78"/>
    <w:rsid w:val="00F52E57"/>
    <w:rsid w:val="00F53F38"/>
    <w:rsid w:val="00F53F98"/>
    <w:rsid w:val="00F543FC"/>
    <w:rsid w:val="00F551CE"/>
    <w:rsid w:val="00F55AF9"/>
    <w:rsid w:val="00F56FFF"/>
    <w:rsid w:val="00F5719B"/>
    <w:rsid w:val="00F57311"/>
    <w:rsid w:val="00F601D3"/>
    <w:rsid w:val="00F606A3"/>
    <w:rsid w:val="00F608D8"/>
    <w:rsid w:val="00F61A08"/>
    <w:rsid w:val="00F61D08"/>
    <w:rsid w:val="00F62A01"/>
    <w:rsid w:val="00F6370C"/>
    <w:rsid w:val="00F6376A"/>
    <w:rsid w:val="00F63774"/>
    <w:rsid w:val="00F648C0"/>
    <w:rsid w:val="00F64EBA"/>
    <w:rsid w:val="00F65946"/>
    <w:rsid w:val="00F66AB5"/>
    <w:rsid w:val="00F67485"/>
    <w:rsid w:val="00F67FD9"/>
    <w:rsid w:val="00F71177"/>
    <w:rsid w:val="00F71215"/>
    <w:rsid w:val="00F717A7"/>
    <w:rsid w:val="00F7224A"/>
    <w:rsid w:val="00F72484"/>
    <w:rsid w:val="00F72874"/>
    <w:rsid w:val="00F72881"/>
    <w:rsid w:val="00F73382"/>
    <w:rsid w:val="00F73BDC"/>
    <w:rsid w:val="00F73FB6"/>
    <w:rsid w:val="00F74842"/>
    <w:rsid w:val="00F752E7"/>
    <w:rsid w:val="00F75EC9"/>
    <w:rsid w:val="00F76261"/>
    <w:rsid w:val="00F762AC"/>
    <w:rsid w:val="00F764A8"/>
    <w:rsid w:val="00F77FCB"/>
    <w:rsid w:val="00F80B3A"/>
    <w:rsid w:val="00F80D22"/>
    <w:rsid w:val="00F810C2"/>
    <w:rsid w:val="00F816D3"/>
    <w:rsid w:val="00F81B33"/>
    <w:rsid w:val="00F81CAD"/>
    <w:rsid w:val="00F82376"/>
    <w:rsid w:val="00F83652"/>
    <w:rsid w:val="00F83BF8"/>
    <w:rsid w:val="00F83FD6"/>
    <w:rsid w:val="00F843AC"/>
    <w:rsid w:val="00F855FE"/>
    <w:rsid w:val="00F85985"/>
    <w:rsid w:val="00F86055"/>
    <w:rsid w:val="00F87751"/>
    <w:rsid w:val="00F900C1"/>
    <w:rsid w:val="00F9011B"/>
    <w:rsid w:val="00F904C8"/>
    <w:rsid w:val="00F90582"/>
    <w:rsid w:val="00F90A45"/>
    <w:rsid w:val="00F90E60"/>
    <w:rsid w:val="00F92492"/>
    <w:rsid w:val="00F9297A"/>
    <w:rsid w:val="00F93406"/>
    <w:rsid w:val="00F93A0A"/>
    <w:rsid w:val="00F9421E"/>
    <w:rsid w:val="00F94306"/>
    <w:rsid w:val="00F94369"/>
    <w:rsid w:val="00F95BF8"/>
    <w:rsid w:val="00F95EB7"/>
    <w:rsid w:val="00F963BA"/>
    <w:rsid w:val="00F963CD"/>
    <w:rsid w:val="00F96EF8"/>
    <w:rsid w:val="00F96FE3"/>
    <w:rsid w:val="00F97D05"/>
    <w:rsid w:val="00F97F76"/>
    <w:rsid w:val="00FA0839"/>
    <w:rsid w:val="00FA0B48"/>
    <w:rsid w:val="00FA0C33"/>
    <w:rsid w:val="00FA286D"/>
    <w:rsid w:val="00FA3495"/>
    <w:rsid w:val="00FA356A"/>
    <w:rsid w:val="00FA3972"/>
    <w:rsid w:val="00FA4636"/>
    <w:rsid w:val="00FA4681"/>
    <w:rsid w:val="00FA47D8"/>
    <w:rsid w:val="00FA4BFC"/>
    <w:rsid w:val="00FA557B"/>
    <w:rsid w:val="00FA5E13"/>
    <w:rsid w:val="00FA6992"/>
    <w:rsid w:val="00FA7DCE"/>
    <w:rsid w:val="00FB0F96"/>
    <w:rsid w:val="00FB184C"/>
    <w:rsid w:val="00FB2101"/>
    <w:rsid w:val="00FB255B"/>
    <w:rsid w:val="00FB273F"/>
    <w:rsid w:val="00FB2C61"/>
    <w:rsid w:val="00FB2E3C"/>
    <w:rsid w:val="00FB308E"/>
    <w:rsid w:val="00FB3748"/>
    <w:rsid w:val="00FB39AA"/>
    <w:rsid w:val="00FB3C09"/>
    <w:rsid w:val="00FB4407"/>
    <w:rsid w:val="00FB4AE5"/>
    <w:rsid w:val="00FB4D3C"/>
    <w:rsid w:val="00FB5157"/>
    <w:rsid w:val="00FB649C"/>
    <w:rsid w:val="00FB701A"/>
    <w:rsid w:val="00FB7680"/>
    <w:rsid w:val="00FB7EA2"/>
    <w:rsid w:val="00FC0074"/>
    <w:rsid w:val="00FC0824"/>
    <w:rsid w:val="00FC11BD"/>
    <w:rsid w:val="00FC1CC8"/>
    <w:rsid w:val="00FC2235"/>
    <w:rsid w:val="00FC3724"/>
    <w:rsid w:val="00FC3845"/>
    <w:rsid w:val="00FC4260"/>
    <w:rsid w:val="00FC519E"/>
    <w:rsid w:val="00FC611C"/>
    <w:rsid w:val="00FC73FA"/>
    <w:rsid w:val="00FC77E8"/>
    <w:rsid w:val="00FC7B6F"/>
    <w:rsid w:val="00FC7BB3"/>
    <w:rsid w:val="00FD007C"/>
    <w:rsid w:val="00FD0415"/>
    <w:rsid w:val="00FD07BF"/>
    <w:rsid w:val="00FD0D7F"/>
    <w:rsid w:val="00FD1308"/>
    <w:rsid w:val="00FD155D"/>
    <w:rsid w:val="00FD15EF"/>
    <w:rsid w:val="00FD3C1D"/>
    <w:rsid w:val="00FD3EA2"/>
    <w:rsid w:val="00FD4CA7"/>
    <w:rsid w:val="00FD6424"/>
    <w:rsid w:val="00FD6B8B"/>
    <w:rsid w:val="00FD6BCD"/>
    <w:rsid w:val="00FD7047"/>
    <w:rsid w:val="00FD70A3"/>
    <w:rsid w:val="00FD7362"/>
    <w:rsid w:val="00FD754A"/>
    <w:rsid w:val="00FD7D65"/>
    <w:rsid w:val="00FE0EBD"/>
    <w:rsid w:val="00FE17EF"/>
    <w:rsid w:val="00FE2242"/>
    <w:rsid w:val="00FE2579"/>
    <w:rsid w:val="00FE283B"/>
    <w:rsid w:val="00FE3AD3"/>
    <w:rsid w:val="00FE3AD4"/>
    <w:rsid w:val="00FE4074"/>
    <w:rsid w:val="00FE4BFA"/>
    <w:rsid w:val="00FE589E"/>
    <w:rsid w:val="00FE595B"/>
    <w:rsid w:val="00FE6348"/>
    <w:rsid w:val="00FE66CA"/>
    <w:rsid w:val="00FE77D2"/>
    <w:rsid w:val="00FF0225"/>
    <w:rsid w:val="00FF03D9"/>
    <w:rsid w:val="00FF25D6"/>
    <w:rsid w:val="00FF2F73"/>
    <w:rsid w:val="00FF309E"/>
    <w:rsid w:val="00FF337B"/>
    <w:rsid w:val="00FF47B4"/>
    <w:rsid w:val="00FF5858"/>
    <w:rsid w:val="00FF61A7"/>
    <w:rsid w:val="00FF624A"/>
    <w:rsid w:val="00FF6890"/>
    <w:rsid w:val="00FF74FD"/>
    <w:rsid w:val="00FF756D"/>
    <w:rsid w:val="02D83616"/>
    <w:rsid w:val="03CD0FBB"/>
    <w:rsid w:val="062B4183"/>
    <w:rsid w:val="066E2C62"/>
    <w:rsid w:val="06D70322"/>
    <w:rsid w:val="0772EBDE"/>
    <w:rsid w:val="07B4D596"/>
    <w:rsid w:val="0824A28C"/>
    <w:rsid w:val="0B4B82DB"/>
    <w:rsid w:val="0BF4D03C"/>
    <w:rsid w:val="0E3525E0"/>
    <w:rsid w:val="0EEF305D"/>
    <w:rsid w:val="10C605BB"/>
    <w:rsid w:val="10FA267A"/>
    <w:rsid w:val="12115B3A"/>
    <w:rsid w:val="121EC9E2"/>
    <w:rsid w:val="128ADA93"/>
    <w:rsid w:val="14B16847"/>
    <w:rsid w:val="17E648EA"/>
    <w:rsid w:val="1882C152"/>
    <w:rsid w:val="1A1E91B3"/>
    <w:rsid w:val="1B2D4EA5"/>
    <w:rsid w:val="1CF67BF2"/>
    <w:rsid w:val="1CFC7B55"/>
    <w:rsid w:val="1E4E7277"/>
    <w:rsid w:val="200080C2"/>
    <w:rsid w:val="238591A2"/>
    <w:rsid w:val="2430D6B9"/>
    <w:rsid w:val="25AC2D60"/>
    <w:rsid w:val="264773F6"/>
    <w:rsid w:val="27760AAB"/>
    <w:rsid w:val="29EC2806"/>
    <w:rsid w:val="2A590D41"/>
    <w:rsid w:val="2B1AE519"/>
    <w:rsid w:val="2B91C720"/>
    <w:rsid w:val="2CFFF3B6"/>
    <w:rsid w:val="2FF6F69D"/>
    <w:rsid w:val="3025FA97"/>
    <w:rsid w:val="31878C4F"/>
    <w:rsid w:val="31B0A9CF"/>
    <w:rsid w:val="33191169"/>
    <w:rsid w:val="334BE140"/>
    <w:rsid w:val="33DD8BE4"/>
    <w:rsid w:val="36E4917C"/>
    <w:rsid w:val="37AD80C6"/>
    <w:rsid w:val="3FB92A23"/>
    <w:rsid w:val="3FDFBCA3"/>
    <w:rsid w:val="40032D6C"/>
    <w:rsid w:val="41648677"/>
    <w:rsid w:val="41776E93"/>
    <w:rsid w:val="419A7E53"/>
    <w:rsid w:val="489AC97C"/>
    <w:rsid w:val="4C1F2CF5"/>
    <w:rsid w:val="4EBC6F4B"/>
    <w:rsid w:val="50A48404"/>
    <w:rsid w:val="55D0970F"/>
    <w:rsid w:val="561EBB87"/>
    <w:rsid w:val="576C6770"/>
    <w:rsid w:val="5808DFD8"/>
    <w:rsid w:val="59A4B039"/>
    <w:rsid w:val="5BEC4AC4"/>
    <w:rsid w:val="5E6A2157"/>
    <w:rsid w:val="5E7A160C"/>
    <w:rsid w:val="5EEBB013"/>
    <w:rsid w:val="624898C5"/>
    <w:rsid w:val="63D3554E"/>
    <w:rsid w:val="654DD35E"/>
    <w:rsid w:val="6707482E"/>
    <w:rsid w:val="6862A993"/>
    <w:rsid w:val="6C949982"/>
    <w:rsid w:val="6F71C239"/>
    <w:rsid w:val="6FFB7F56"/>
    <w:rsid w:val="70D50FA7"/>
    <w:rsid w:val="71713C7A"/>
    <w:rsid w:val="71974FB7"/>
    <w:rsid w:val="71ED65D2"/>
    <w:rsid w:val="7246C95E"/>
    <w:rsid w:val="73E299BF"/>
    <w:rsid w:val="771A3A81"/>
    <w:rsid w:val="786535F1"/>
    <w:rsid w:val="7A09D659"/>
    <w:rsid w:val="7A6BD786"/>
    <w:rsid w:val="7BEE2CF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3BB492"/>
  <w15:docId w15:val="{9B386747-9179-49DD-A0DE-C217B5E10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F8C"/>
    <w:rPr>
      <w:rFonts w:eastAsia="Times New Roman"/>
      <w:sz w:val="24"/>
      <w:szCs w:val="24"/>
      <w:lang w:val="en-AU" w:eastAsia="en-GB"/>
    </w:rPr>
  </w:style>
  <w:style w:type="paragraph" w:styleId="Heading1">
    <w:name w:val="heading 1"/>
    <w:basedOn w:val="Normal"/>
    <w:next w:val="Normal"/>
    <w:link w:val="Heading1Char"/>
    <w:uiPriority w:val="9"/>
    <w:qFormat/>
    <w:rsid w:val="00275DE3"/>
    <w:pPr>
      <w:keepNext/>
      <w:keepLines/>
      <w:numPr>
        <w:numId w:val="1"/>
      </w:numPr>
      <w:spacing w:before="120" w:after="240"/>
      <w:ind w:left="448" w:hanging="431"/>
      <w:outlineLvl w:val="0"/>
    </w:pPr>
    <w:rPr>
      <w:rFonts w:asciiTheme="minorHAnsi" w:eastAsiaTheme="majorEastAsia" w:hAnsiTheme="minorHAnsi" w:cs="Calibri (Body)"/>
      <w:b/>
      <w:color w:val="125771" w:themeColor="accent1" w:themeShade="BF"/>
      <w:sz w:val="28"/>
      <w:szCs w:val="22"/>
    </w:rPr>
  </w:style>
  <w:style w:type="paragraph" w:styleId="Heading2">
    <w:name w:val="heading 2"/>
    <w:basedOn w:val="Normal"/>
    <w:next w:val="Normal"/>
    <w:link w:val="Heading2Char"/>
    <w:uiPriority w:val="9"/>
    <w:unhideWhenUsed/>
    <w:qFormat/>
    <w:rsid w:val="005E0498"/>
    <w:pPr>
      <w:keepNext/>
      <w:keepLines/>
      <w:numPr>
        <w:ilvl w:val="1"/>
        <w:numId w:val="1"/>
      </w:numPr>
      <w:spacing w:before="200" w:after="120"/>
      <w:ind w:left="595" w:hanging="578"/>
      <w:outlineLvl w:val="1"/>
    </w:pPr>
    <w:rPr>
      <w:rFonts w:ascii="Franklin Gothic Book" w:eastAsiaTheme="majorEastAsia" w:hAnsi="Franklin Gothic Book" w:cstheme="majorBidi"/>
      <w:b/>
      <w:bCs/>
      <w:color w:val="1F497D" w:themeColor="text2"/>
      <w:sz w:val="26"/>
      <w:szCs w:val="26"/>
    </w:rPr>
  </w:style>
  <w:style w:type="paragraph" w:styleId="Heading3">
    <w:name w:val="heading 3"/>
    <w:aliases w:val="Heading 3 Guidelines"/>
    <w:basedOn w:val="Normal"/>
    <w:next w:val="Normal"/>
    <w:link w:val="Heading3Char"/>
    <w:uiPriority w:val="9"/>
    <w:unhideWhenUsed/>
    <w:qFormat/>
    <w:rsid w:val="00F45C78"/>
    <w:pPr>
      <w:keepNext/>
      <w:keepLines/>
      <w:numPr>
        <w:ilvl w:val="2"/>
        <w:numId w:val="1"/>
      </w:numPr>
      <w:spacing w:before="200" w:after="120"/>
      <w:outlineLvl w:val="2"/>
    </w:pPr>
    <w:rPr>
      <w:rFonts w:ascii="Franklin Gothic Book" w:eastAsiaTheme="majorEastAsia" w:hAnsi="Franklin Gothic Book" w:cstheme="majorBidi"/>
      <w:b/>
      <w:bCs/>
      <w:color w:val="1F497D" w:themeColor="text2"/>
    </w:rPr>
  </w:style>
  <w:style w:type="paragraph" w:styleId="Heading4">
    <w:name w:val="heading 4"/>
    <w:basedOn w:val="Normal"/>
    <w:next w:val="Normal"/>
    <w:link w:val="Heading4Char"/>
    <w:uiPriority w:val="9"/>
    <w:unhideWhenUsed/>
    <w:qFormat/>
    <w:rsid w:val="00C73DE6"/>
    <w:pPr>
      <w:keepNext/>
      <w:keepLines/>
      <w:numPr>
        <w:ilvl w:val="3"/>
        <w:numId w:val="1"/>
      </w:numPr>
      <w:spacing w:before="200"/>
      <w:outlineLvl w:val="3"/>
    </w:pPr>
    <w:rPr>
      <w:rFonts w:ascii="Franklin Gothic Book" w:eastAsiaTheme="majorEastAsia" w:hAnsi="Franklin Gothic Book" w:cstheme="majorBidi"/>
      <w:b/>
      <w:bCs/>
      <w:iCs/>
    </w:rPr>
  </w:style>
  <w:style w:type="paragraph" w:styleId="Heading5">
    <w:name w:val="heading 5"/>
    <w:basedOn w:val="Normal"/>
    <w:next w:val="Normal"/>
    <w:link w:val="Heading5Char"/>
    <w:uiPriority w:val="99"/>
    <w:unhideWhenUsed/>
    <w:qFormat/>
    <w:rsid w:val="00C73DE6"/>
    <w:pPr>
      <w:keepNext/>
      <w:keepLines/>
      <w:numPr>
        <w:ilvl w:val="4"/>
        <w:numId w:val="1"/>
      </w:numPr>
      <w:spacing w:before="200"/>
      <w:outlineLvl w:val="4"/>
    </w:pPr>
    <w:rPr>
      <w:rFonts w:asciiTheme="majorHAnsi" w:eastAsiaTheme="majorEastAsia" w:hAnsiTheme="majorHAnsi" w:cstheme="majorBidi"/>
      <w:color w:val="0C394B" w:themeColor="accent1" w:themeShade="7F"/>
    </w:rPr>
  </w:style>
  <w:style w:type="paragraph" w:styleId="Heading6">
    <w:name w:val="heading 6"/>
    <w:basedOn w:val="Normal"/>
    <w:next w:val="Normal"/>
    <w:link w:val="Heading6Char"/>
    <w:uiPriority w:val="9"/>
    <w:unhideWhenUsed/>
    <w:qFormat/>
    <w:rsid w:val="00C73DE6"/>
    <w:pPr>
      <w:keepNext/>
      <w:keepLines/>
      <w:numPr>
        <w:ilvl w:val="5"/>
        <w:numId w:val="1"/>
      </w:numPr>
      <w:spacing w:before="200"/>
      <w:outlineLvl w:val="5"/>
    </w:pPr>
    <w:rPr>
      <w:rFonts w:asciiTheme="majorHAnsi" w:eastAsiaTheme="majorEastAsia" w:hAnsiTheme="majorHAnsi" w:cstheme="majorBidi"/>
      <w:i/>
      <w:iCs/>
      <w:color w:val="0C394B" w:themeColor="accent1" w:themeShade="7F"/>
    </w:rPr>
  </w:style>
  <w:style w:type="paragraph" w:styleId="Heading7">
    <w:name w:val="heading 7"/>
    <w:basedOn w:val="Normal"/>
    <w:next w:val="Normal"/>
    <w:link w:val="Heading7Char"/>
    <w:uiPriority w:val="9"/>
    <w:unhideWhenUsed/>
    <w:qFormat/>
    <w:rsid w:val="00C73DE6"/>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73DE6"/>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73DE6"/>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C73DE6"/>
  </w:style>
  <w:style w:type="character" w:customStyle="1" w:styleId="Heading1Char">
    <w:name w:val="Heading 1 Char"/>
    <w:basedOn w:val="DefaultParagraphFont"/>
    <w:link w:val="Heading1"/>
    <w:uiPriority w:val="9"/>
    <w:rsid w:val="00275DE3"/>
    <w:rPr>
      <w:rFonts w:asciiTheme="minorHAnsi" w:eastAsiaTheme="majorEastAsia" w:hAnsiTheme="minorHAnsi" w:cs="Calibri (Body)"/>
      <w:b/>
      <w:color w:val="125771" w:themeColor="accent1" w:themeShade="BF"/>
      <w:sz w:val="28"/>
      <w:szCs w:val="22"/>
      <w:lang w:val="en-AU" w:eastAsia="en-GB"/>
    </w:rPr>
  </w:style>
  <w:style w:type="character" w:customStyle="1" w:styleId="Heading2Char">
    <w:name w:val="Heading 2 Char"/>
    <w:basedOn w:val="DefaultParagraphFont"/>
    <w:link w:val="Heading2"/>
    <w:uiPriority w:val="9"/>
    <w:rsid w:val="005E0498"/>
    <w:rPr>
      <w:rFonts w:ascii="Franklin Gothic Book" w:eastAsiaTheme="majorEastAsia" w:hAnsi="Franklin Gothic Book" w:cstheme="majorBidi"/>
      <w:b/>
      <w:bCs/>
      <w:color w:val="1F497D" w:themeColor="text2"/>
      <w:sz w:val="26"/>
      <w:szCs w:val="26"/>
      <w:lang w:val="en-AU" w:eastAsia="en-GB"/>
    </w:rPr>
  </w:style>
  <w:style w:type="character" w:customStyle="1" w:styleId="Heading3Char">
    <w:name w:val="Heading 3 Char"/>
    <w:aliases w:val="Heading 3 Guidelines Char"/>
    <w:basedOn w:val="DefaultParagraphFont"/>
    <w:link w:val="Heading3"/>
    <w:uiPriority w:val="9"/>
    <w:rsid w:val="00F45C78"/>
    <w:rPr>
      <w:rFonts w:ascii="Franklin Gothic Book" w:eastAsiaTheme="majorEastAsia" w:hAnsi="Franklin Gothic Book" w:cstheme="majorBidi"/>
      <w:b/>
      <w:bCs/>
      <w:color w:val="1F497D" w:themeColor="text2"/>
      <w:sz w:val="24"/>
      <w:szCs w:val="24"/>
      <w:lang w:val="en-AU" w:eastAsia="en-GB"/>
    </w:rPr>
  </w:style>
  <w:style w:type="character" w:customStyle="1" w:styleId="Heading4Char">
    <w:name w:val="Heading 4 Char"/>
    <w:basedOn w:val="DefaultParagraphFont"/>
    <w:link w:val="Heading4"/>
    <w:uiPriority w:val="9"/>
    <w:rsid w:val="006A3B60"/>
    <w:rPr>
      <w:rFonts w:ascii="Franklin Gothic Book" w:eastAsiaTheme="majorEastAsia" w:hAnsi="Franklin Gothic Book" w:cstheme="majorBidi"/>
      <w:b/>
      <w:bCs/>
      <w:iCs/>
      <w:sz w:val="24"/>
      <w:szCs w:val="24"/>
      <w:lang w:val="en-AU" w:eastAsia="en-GB"/>
    </w:rPr>
  </w:style>
  <w:style w:type="character" w:customStyle="1" w:styleId="Heading5Char">
    <w:name w:val="Heading 5 Char"/>
    <w:basedOn w:val="DefaultParagraphFont"/>
    <w:link w:val="Heading5"/>
    <w:uiPriority w:val="99"/>
    <w:rsid w:val="0063590D"/>
    <w:rPr>
      <w:rFonts w:asciiTheme="majorHAnsi" w:eastAsiaTheme="majorEastAsia" w:hAnsiTheme="majorHAnsi" w:cstheme="majorBidi"/>
      <w:color w:val="0C394B" w:themeColor="accent1" w:themeShade="7F"/>
      <w:sz w:val="24"/>
      <w:szCs w:val="24"/>
      <w:lang w:val="en-AU" w:eastAsia="en-GB"/>
    </w:rPr>
  </w:style>
  <w:style w:type="character" w:customStyle="1" w:styleId="Heading6Char">
    <w:name w:val="Heading 6 Char"/>
    <w:basedOn w:val="DefaultParagraphFont"/>
    <w:link w:val="Heading6"/>
    <w:uiPriority w:val="9"/>
    <w:rsid w:val="0063590D"/>
    <w:rPr>
      <w:rFonts w:asciiTheme="majorHAnsi" w:eastAsiaTheme="majorEastAsia" w:hAnsiTheme="majorHAnsi" w:cstheme="majorBidi"/>
      <w:i/>
      <w:iCs/>
      <w:color w:val="0C394B" w:themeColor="accent1" w:themeShade="7F"/>
      <w:sz w:val="24"/>
      <w:szCs w:val="24"/>
      <w:lang w:val="en-AU" w:eastAsia="en-GB"/>
    </w:rPr>
  </w:style>
  <w:style w:type="character" w:customStyle="1" w:styleId="Heading7Char">
    <w:name w:val="Heading 7 Char"/>
    <w:basedOn w:val="DefaultParagraphFont"/>
    <w:link w:val="Heading7"/>
    <w:uiPriority w:val="9"/>
    <w:rsid w:val="0063590D"/>
    <w:rPr>
      <w:rFonts w:asciiTheme="majorHAnsi" w:eastAsiaTheme="majorEastAsia" w:hAnsiTheme="majorHAnsi" w:cstheme="majorBidi"/>
      <w:i/>
      <w:iCs/>
      <w:color w:val="404040" w:themeColor="text1" w:themeTint="BF"/>
      <w:sz w:val="24"/>
      <w:szCs w:val="24"/>
      <w:lang w:val="en-AU" w:eastAsia="en-GB"/>
    </w:rPr>
  </w:style>
  <w:style w:type="character" w:customStyle="1" w:styleId="Heading8Char">
    <w:name w:val="Heading 8 Char"/>
    <w:basedOn w:val="DefaultParagraphFont"/>
    <w:link w:val="Heading8"/>
    <w:uiPriority w:val="9"/>
    <w:semiHidden/>
    <w:rsid w:val="0063590D"/>
    <w:rPr>
      <w:rFonts w:asciiTheme="majorHAnsi" w:eastAsiaTheme="majorEastAsia" w:hAnsiTheme="majorHAnsi" w:cstheme="majorBidi"/>
      <w:color w:val="404040" w:themeColor="text1" w:themeTint="BF"/>
      <w:lang w:val="en-AU" w:eastAsia="en-GB"/>
    </w:rPr>
  </w:style>
  <w:style w:type="character" w:customStyle="1" w:styleId="Heading9Char">
    <w:name w:val="Heading 9 Char"/>
    <w:basedOn w:val="DefaultParagraphFont"/>
    <w:link w:val="Heading9"/>
    <w:uiPriority w:val="9"/>
    <w:semiHidden/>
    <w:rsid w:val="0063590D"/>
    <w:rPr>
      <w:rFonts w:asciiTheme="majorHAnsi" w:eastAsiaTheme="majorEastAsia" w:hAnsiTheme="majorHAnsi" w:cstheme="majorBidi"/>
      <w:i/>
      <w:iCs/>
      <w:color w:val="404040" w:themeColor="text1" w:themeTint="BF"/>
      <w:lang w:val="en-AU" w:eastAsia="en-GB"/>
    </w:rPr>
  </w:style>
  <w:style w:type="paragraph" w:styleId="TOCHeading">
    <w:name w:val="TOC Heading"/>
    <w:basedOn w:val="Heading1"/>
    <w:next w:val="Normal"/>
    <w:uiPriority w:val="39"/>
    <w:unhideWhenUsed/>
    <w:qFormat/>
    <w:rsid w:val="0063590D"/>
    <w:pPr>
      <w:numPr>
        <w:numId w:val="0"/>
      </w:numPr>
      <w:spacing w:line="276" w:lineRule="auto"/>
      <w:outlineLvl w:val="9"/>
    </w:pPr>
    <w:rPr>
      <w:lang w:eastAsia="ja-JP"/>
    </w:rPr>
  </w:style>
  <w:style w:type="paragraph" w:styleId="TOC1">
    <w:name w:val="toc 1"/>
    <w:basedOn w:val="Normal"/>
    <w:next w:val="Normal"/>
    <w:autoRedefine/>
    <w:uiPriority w:val="39"/>
    <w:qFormat/>
    <w:rsid w:val="003A76F5"/>
    <w:pPr>
      <w:spacing w:before="120" w:after="120"/>
    </w:pPr>
    <w:rPr>
      <w:rFonts w:asciiTheme="minorHAnsi" w:hAnsiTheme="minorHAnsi" w:cstheme="minorHAnsi"/>
      <w:b/>
      <w:bCs/>
      <w:caps/>
      <w:sz w:val="20"/>
      <w:szCs w:val="20"/>
    </w:rPr>
  </w:style>
  <w:style w:type="paragraph" w:styleId="TOC2">
    <w:name w:val="toc 2"/>
    <w:basedOn w:val="Normal"/>
    <w:next w:val="Normal"/>
    <w:autoRedefine/>
    <w:uiPriority w:val="39"/>
    <w:qFormat/>
    <w:rsid w:val="005D2DE5"/>
    <w:pPr>
      <w:ind w:left="240"/>
    </w:pPr>
    <w:rPr>
      <w:rFonts w:asciiTheme="minorHAnsi" w:hAnsiTheme="minorHAnsi" w:cstheme="minorHAnsi"/>
      <w:smallCaps/>
      <w:sz w:val="20"/>
      <w:szCs w:val="20"/>
    </w:rPr>
  </w:style>
  <w:style w:type="paragraph" w:styleId="TOC3">
    <w:name w:val="toc 3"/>
    <w:basedOn w:val="Normal"/>
    <w:next w:val="Normal"/>
    <w:autoRedefine/>
    <w:uiPriority w:val="39"/>
    <w:qFormat/>
    <w:rsid w:val="005D2DE5"/>
    <w:pPr>
      <w:ind w:left="480"/>
    </w:pPr>
    <w:rPr>
      <w:rFonts w:asciiTheme="minorHAnsi" w:hAnsiTheme="minorHAnsi" w:cstheme="minorHAnsi"/>
      <w:i/>
      <w:iCs/>
      <w:sz w:val="20"/>
      <w:szCs w:val="20"/>
    </w:rPr>
  </w:style>
  <w:style w:type="character" w:styleId="Hyperlink">
    <w:name w:val="Hyperlink"/>
    <w:basedOn w:val="DefaultParagraphFont"/>
    <w:uiPriority w:val="99"/>
    <w:unhideWhenUsed/>
    <w:rsid w:val="0063590D"/>
    <w:rPr>
      <w:color w:val="0000FF" w:themeColor="hyperlink"/>
      <w:u w:val="single"/>
    </w:rPr>
  </w:style>
  <w:style w:type="paragraph" w:styleId="BalloonText">
    <w:name w:val="Balloon Text"/>
    <w:basedOn w:val="Normal"/>
    <w:link w:val="BalloonTextChar"/>
    <w:rsid w:val="0063590D"/>
    <w:rPr>
      <w:rFonts w:ascii="Tahoma" w:hAnsi="Tahoma" w:cs="Tahoma"/>
      <w:sz w:val="16"/>
      <w:szCs w:val="16"/>
    </w:rPr>
  </w:style>
  <w:style w:type="character" w:customStyle="1" w:styleId="BalloonTextChar">
    <w:name w:val="Balloon Text Char"/>
    <w:basedOn w:val="DefaultParagraphFont"/>
    <w:link w:val="BalloonText"/>
    <w:rsid w:val="0063590D"/>
    <w:rPr>
      <w:rFonts w:ascii="Tahoma" w:hAnsi="Tahoma" w:cs="Tahoma"/>
      <w:sz w:val="16"/>
      <w:szCs w:val="16"/>
    </w:rPr>
  </w:style>
  <w:style w:type="paragraph" w:styleId="Header">
    <w:name w:val="header"/>
    <w:basedOn w:val="Normal"/>
    <w:link w:val="HeaderChar"/>
    <w:uiPriority w:val="99"/>
    <w:unhideWhenUsed/>
    <w:rsid w:val="0063590D"/>
    <w:pPr>
      <w:tabs>
        <w:tab w:val="center" w:pos="4320"/>
        <w:tab w:val="right" w:pos="8640"/>
      </w:tabs>
    </w:pPr>
    <w:rPr>
      <w:rFonts w:ascii="Cambria" w:eastAsia="MS Mincho" w:hAnsi="Cambria"/>
    </w:rPr>
  </w:style>
  <w:style w:type="character" w:customStyle="1" w:styleId="HeaderChar">
    <w:name w:val="Header Char"/>
    <w:basedOn w:val="DefaultParagraphFont"/>
    <w:link w:val="Header"/>
    <w:uiPriority w:val="99"/>
    <w:rsid w:val="0063590D"/>
    <w:rPr>
      <w:rFonts w:ascii="Cambria" w:eastAsia="MS Mincho" w:hAnsi="Cambria"/>
      <w:sz w:val="24"/>
      <w:szCs w:val="24"/>
    </w:rPr>
  </w:style>
  <w:style w:type="paragraph" w:styleId="Footer">
    <w:name w:val="footer"/>
    <w:basedOn w:val="Normal"/>
    <w:link w:val="FooterChar"/>
    <w:uiPriority w:val="99"/>
    <w:unhideWhenUsed/>
    <w:rsid w:val="0063590D"/>
    <w:pPr>
      <w:tabs>
        <w:tab w:val="center" w:pos="4320"/>
        <w:tab w:val="right" w:pos="8640"/>
      </w:tabs>
    </w:pPr>
    <w:rPr>
      <w:rFonts w:ascii="Cambria" w:eastAsia="MS Mincho" w:hAnsi="Cambria"/>
    </w:rPr>
  </w:style>
  <w:style w:type="character" w:customStyle="1" w:styleId="FooterChar">
    <w:name w:val="Footer Char"/>
    <w:basedOn w:val="DefaultParagraphFont"/>
    <w:link w:val="Footer"/>
    <w:uiPriority w:val="99"/>
    <w:rsid w:val="0063590D"/>
    <w:rPr>
      <w:rFonts w:ascii="Cambria" w:eastAsia="MS Mincho" w:hAnsi="Cambria"/>
      <w:sz w:val="24"/>
      <w:szCs w:val="24"/>
    </w:rPr>
  </w:style>
  <w:style w:type="character" w:styleId="PageNumber">
    <w:name w:val="page number"/>
    <w:basedOn w:val="DefaultParagraphFont"/>
    <w:uiPriority w:val="99"/>
    <w:unhideWhenUsed/>
    <w:rsid w:val="0063590D"/>
  </w:style>
  <w:style w:type="paragraph" w:customStyle="1" w:styleId="FranklinHeader">
    <w:name w:val="Franklin Header"/>
    <w:basedOn w:val="Normal"/>
    <w:link w:val="FranklinHeaderChar"/>
    <w:qFormat/>
    <w:rsid w:val="00C73DE6"/>
    <w:pPr>
      <w:spacing w:after="240" w:line="276" w:lineRule="auto"/>
      <w:jc w:val="both"/>
    </w:pPr>
    <w:rPr>
      <w:rFonts w:ascii="Franklin Gothic Medium" w:eastAsia="MS Mincho" w:hAnsi="Franklin Gothic Medium"/>
      <w:color w:val="2F7BB4"/>
      <w:sz w:val="28"/>
      <w:szCs w:val="28"/>
    </w:rPr>
  </w:style>
  <w:style w:type="paragraph" w:customStyle="1" w:styleId="SEEABody">
    <w:name w:val="SEEA Body"/>
    <w:basedOn w:val="Normal"/>
    <w:link w:val="SEEABodyChar"/>
    <w:qFormat/>
    <w:rsid w:val="00FC3724"/>
    <w:pPr>
      <w:spacing w:line="264" w:lineRule="auto"/>
      <w:jc w:val="both"/>
    </w:pPr>
    <w:rPr>
      <w:rFonts w:ascii="Palatino" w:eastAsia="MS Mincho" w:hAnsi="Palatino"/>
      <w:sz w:val="20"/>
      <w:szCs w:val="20"/>
    </w:rPr>
  </w:style>
  <w:style w:type="character" w:customStyle="1" w:styleId="FranklinHeaderChar">
    <w:name w:val="Franklin Header Char"/>
    <w:link w:val="FranklinHeader"/>
    <w:rsid w:val="00C73DE6"/>
    <w:rPr>
      <w:rFonts w:ascii="Franklin Gothic Medium" w:eastAsia="MS Mincho" w:hAnsi="Franklin Gothic Medium"/>
      <w:color w:val="2F7BB4"/>
      <w:sz w:val="28"/>
      <w:szCs w:val="28"/>
      <w:lang w:val="en-GB"/>
    </w:rPr>
  </w:style>
  <w:style w:type="paragraph" w:customStyle="1" w:styleId="CoverPageHeadline">
    <w:name w:val="Cover Page Headline"/>
    <w:basedOn w:val="Normal"/>
    <w:link w:val="CoverPageHeadlineChar"/>
    <w:qFormat/>
    <w:rsid w:val="00C73DE6"/>
    <w:pPr>
      <w:spacing w:line="276" w:lineRule="auto"/>
      <w:jc w:val="center"/>
    </w:pPr>
    <w:rPr>
      <w:rFonts w:ascii="Franklin Gothic Medium" w:eastAsia="MS Mincho" w:hAnsi="Franklin Gothic Medium"/>
      <w:sz w:val="48"/>
      <w:szCs w:val="48"/>
    </w:rPr>
  </w:style>
  <w:style w:type="character" w:customStyle="1" w:styleId="SEEABodyChar">
    <w:name w:val="SEEA Body Char"/>
    <w:link w:val="SEEABody"/>
    <w:rsid w:val="00FC3724"/>
    <w:rPr>
      <w:rFonts w:ascii="Palatino" w:eastAsia="MS Mincho" w:hAnsi="Palatino"/>
    </w:rPr>
  </w:style>
  <w:style w:type="paragraph" w:customStyle="1" w:styleId="BoxText">
    <w:name w:val="Box Text"/>
    <w:basedOn w:val="Normal"/>
    <w:link w:val="BoxTextChar"/>
    <w:qFormat/>
    <w:rsid w:val="00D90260"/>
    <w:rPr>
      <w:rFonts w:eastAsia="MS Mincho"/>
      <w:color w:val="000000"/>
      <w:sz w:val="22"/>
      <w:szCs w:val="18"/>
    </w:rPr>
  </w:style>
  <w:style w:type="character" w:customStyle="1" w:styleId="CoverPageHeadlineChar">
    <w:name w:val="Cover Page Headline Char"/>
    <w:link w:val="CoverPageHeadline"/>
    <w:rsid w:val="00C73DE6"/>
    <w:rPr>
      <w:rFonts w:ascii="Franklin Gothic Medium" w:eastAsia="MS Mincho" w:hAnsi="Franklin Gothic Medium"/>
      <w:sz w:val="48"/>
      <w:szCs w:val="48"/>
      <w:lang w:val="en-GB"/>
    </w:rPr>
  </w:style>
  <w:style w:type="character" w:customStyle="1" w:styleId="BoxTextChar">
    <w:name w:val="Box Text Char"/>
    <w:link w:val="BoxText"/>
    <w:rsid w:val="00D90260"/>
    <w:rPr>
      <w:rFonts w:asciiTheme="minorHAnsi" w:eastAsia="MS Mincho" w:hAnsiTheme="minorHAnsi"/>
      <w:color w:val="000000"/>
      <w:sz w:val="22"/>
      <w:szCs w:val="18"/>
      <w:lang w:val="en-GB"/>
    </w:rPr>
  </w:style>
  <w:style w:type="character" w:styleId="Emphasis">
    <w:name w:val="Emphasis"/>
    <w:basedOn w:val="DefaultParagraphFont"/>
    <w:qFormat/>
    <w:rsid w:val="00060B1A"/>
    <w:rPr>
      <w:i/>
      <w:iCs/>
    </w:rPr>
  </w:style>
  <w:style w:type="paragraph" w:styleId="Title">
    <w:name w:val="Title"/>
    <w:basedOn w:val="Normal"/>
    <w:next w:val="Normal"/>
    <w:link w:val="TitleChar"/>
    <w:uiPriority w:val="10"/>
    <w:qFormat/>
    <w:rsid w:val="003C0FFC"/>
    <w:pPr>
      <w:pBdr>
        <w:bottom w:val="single" w:sz="8" w:space="4" w:color="197598"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C0FFC"/>
    <w:rPr>
      <w:rFonts w:asciiTheme="majorHAnsi" w:eastAsiaTheme="majorEastAsia" w:hAnsiTheme="majorHAnsi" w:cstheme="majorBidi"/>
      <w:color w:val="17365D" w:themeColor="text2" w:themeShade="BF"/>
      <w:spacing w:val="5"/>
      <w:kern w:val="28"/>
      <w:sz w:val="52"/>
      <w:szCs w:val="52"/>
      <w:lang w:val="en-GB"/>
    </w:rPr>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rsid w:val="00C73DE6"/>
    <w:rPr>
      <w:rFonts w:asciiTheme="minorHAnsi" w:hAnsiTheme="minorHAnsi"/>
      <w:sz w:val="24"/>
      <w:szCs w:val="24"/>
      <w:lang w:val="en-GB"/>
    </w:rPr>
  </w:style>
  <w:style w:type="paragraph" w:styleId="Date">
    <w:name w:val="Date"/>
    <w:basedOn w:val="Normal"/>
    <w:next w:val="Normal"/>
    <w:link w:val="DateChar"/>
    <w:rsid w:val="000143F9"/>
  </w:style>
  <w:style w:type="character" w:customStyle="1" w:styleId="DateChar">
    <w:name w:val="Date Char"/>
    <w:basedOn w:val="DefaultParagraphFont"/>
    <w:link w:val="Date"/>
    <w:rsid w:val="000143F9"/>
    <w:rPr>
      <w:sz w:val="24"/>
      <w:szCs w:val="24"/>
    </w:rPr>
  </w:style>
  <w:style w:type="numbering" w:customStyle="1" w:styleId="List0">
    <w:name w:val="List 0"/>
    <w:basedOn w:val="NoList"/>
    <w:rsid w:val="00CB7366"/>
    <w:pPr>
      <w:numPr>
        <w:numId w:val="2"/>
      </w:numPr>
    </w:pPr>
  </w:style>
  <w:style w:type="paragraph" w:customStyle="1" w:styleId="Default">
    <w:name w:val="Default"/>
    <w:rsid w:val="00214060"/>
    <w:pPr>
      <w:autoSpaceDE w:val="0"/>
      <w:autoSpaceDN w:val="0"/>
      <w:adjustRightInd w:val="0"/>
    </w:pPr>
    <w:rPr>
      <w:color w:val="000000"/>
      <w:sz w:val="24"/>
      <w:szCs w:val="24"/>
    </w:rPr>
  </w:style>
  <w:style w:type="character" w:styleId="FootnoteReference">
    <w:name w:val="footnote reference"/>
    <w:aliases w:val="Ref,de nota al pie,Footnote Reference Number,Footnotereference,ftref,16 Point,Superscript 6 Point,Footnote,number,Footnote Reference Superscript,-E Fußnotenzeichen,(Diplomarbeit FZ),(Diplomarbeit FZ)1,(Diplomarbeit FZ)2,16 Poin,SUPERS"/>
    <w:basedOn w:val="DefaultParagraphFont"/>
    <w:link w:val="BVIfnrChar"/>
    <w:uiPriority w:val="99"/>
    <w:qFormat/>
    <w:rsid w:val="00214060"/>
    <w:rPr>
      <w:rFonts w:cs="Times New Roman"/>
      <w:vertAlign w:val="superscript"/>
    </w:rPr>
  </w:style>
  <w:style w:type="paragraph" w:styleId="FootnoteText">
    <w:name w:val="footnote text"/>
    <w:aliases w:val="Footnote1,Footnote2,Footnote3,Footnote4,Footnote5,Footnote6,Footnote7,Footnote8,Footnote9,Footnote10,Footnote11,Footnote21,Footnote31,Footnote41,Footnote51,Footnote61,Footnote71,Footnote81,Footnote91,Footnote12,fn Cha,Fußnote,Fotnotstext1"/>
    <w:basedOn w:val="Normal"/>
    <w:link w:val="FootnoteTextChar"/>
    <w:uiPriority w:val="99"/>
    <w:qFormat/>
    <w:rsid w:val="00214060"/>
    <w:pPr>
      <w:ind w:left="567"/>
      <w:jc w:val="both"/>
    </w:pPr>
    <w:rPr>
      <w:sz w:val="18"/>
      <w:szCs w:val="20"/>
      <w:lang w:val="en-CA" w:eastAsia="zh-CN"/>
    </w:rPr>
  </w:style>
  <w:style w:type="character" w:customStyle="1" w:styleId="FootnoteTextChar">
    <w:name w:val="Footnote Text Char"/>
    <w:aliases w:val="Footnote1 Char,Footnote2 Char,Footnote3 Char,Footnote4 Char,Footnote5 Char,Footnote6 Char,Footnote7 Char,Footnote8 Char,Footnote9 Char,Footnote10 Char,Footnote11 Char,Footnote21 Char,Footnote31 Char,Footnote41 Char,Footnote51 Char"/>
    <w:basedOn w:val="DefaultParagraphFont"/>
    <w:link w:val="FootnoteText"/>
    <w:uiPriority w:val="99"/>
    <w:rsid w:val="00214060"/>
    <w:rPr>
      <w:sz w:val="18"/>
      <w:lang w:val="en-CA" w:eastAsia="zh-CN"/>
    </w:rPr>
  </w:style>
  <w:style w:type="table" w:styleId="TableGrid">
    <w:name w:val="Table Grid"/>
    <w:basedOn w:val="TableNormal"/>
    <w:uiPriority w:val="59"/>
    <w:rsid w:val="00702812"/>
    <w:rPr>
      <w:rFonts w:asciiTheme="minorHAnsi" w:eastAsiaTheme="minorHAnsi" w:hAnsiTheme="minorHAnsi" w:cstheme="minorBidi"/>
      <w:sz w:val="22"/>
      <w:szCs w:val="22"/>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rsid w:val="000776ED"/>
    <w:rPr>
      <w:sz w:val="20"/>
      <w:szCs w:val="20"/>
    </w:rPr>
  </w:style>
  <w:style w:type="character" w:customStyle="1" w:styleId="CommentTextChar">
    <w:name w:val="Comment Text Char"/>
    <w:basedOn w:val="DefaultParagraphFont"/>
    <w:link w:val="CommentText"/>
    <w:rsid w:val="000776ED"/>
    <w:rPr>
      <w:lang w:val="en-GB"/>
    </w:rPr>
  </w:style>
  <w:style w:type="character" w:styleId="CommentReference">
    <w:name w:val="annotation reference"/>
    <w:basedOn w:val="DefaultParagraphFont"/>
    <w:unhideWhenUsed/>
    <w:rsid w:val="00FD0D7F"/>
    <w:rPr>
      <w:sz w:val="16"/>
      <w:szCs w:val="16"/>
    </w:rPr>
  </w:style>
  <w:style w:type="paragraph" w:styleId="CommentSubject">
    <w:name w:val="annotation subject"/>
    <w:basedOn w:val="CommentText"/>
    <w:next w:val="CommentText"/>
    <w:link w:val="CommentSubjectChar"/>
    <w:semiHidden/>
    <w:unhideWhenUsed/>
    <w:rsid w:val="00FD0D7F"/>
    <w:rPr>
      <w:b/>
      <w:bCs/>
      <w:lang w:val="en-US"/>
    </w:rPr>
  </w:style>
  <w:style w:type="character" w:customStyle="1" w:styleId="CommentSubjectChar">
    <w:name w:val="Comment Subject Char"/>
    <w:basedOn w:val="CommentTextChar"/>
    <w:link w:val="CommentSubject"/>
    <w:semiHidden/>
    <w:rsid w:val="00FD0D7F"/>
    <w:rPr>
      <w:b/>
      <w:bCs/>
      <w:lang w:val="en-GB"/>
    </w:rPr>
  </w:style>
  <w:style w:type="paragraph" w:styleId="NormalWeb">
    <w:name w:val="Normal (Web)"/>
    <w:basedOn w:val="Normal"/>
    <w:uiPriority w:val="99"/>
    <w:unhideWhenUsed/>
    <w:rsid w:val="006B586B"/>
    <w:pPr>
      <w:spacing w:before="100" w:beforeAutospacing="1" w:after="100" w:afterAutospacing="1"/>
    </w:pPr>
  </w:style>
  <w:style w:type="paragraph" w:styleId="Revision">
    <w:name w:val="Revision"/>
    <w:hidden/>
    <w:uiPriority w:val="99"/>
    <w:semiHidden/>
    <w:rsid w:val="001321CB"/>
    <w:rPr>
      <w:sz w:val="24"/>
      <w:szCs w:val="24"/>
    </w:rPr>
  </w:style>
  <w:style w:type="paragraph" w:customStyle="1" w:styleId="Paragraph">
    <w:name w:val="Paragraph"/>
    <w:basedOn w:val="Normal"/>
    <w:rsid w:val="005E0498"/>
    <w:pPr>
      <w:numPr>
        <w:numId w:val="8"/>
      </w:numPr>
      <w:spacing w:after="120"/>
    </w:pPr>
    <w:rPr>
      <w:rFonts w:asciiTheme="minorHAnsi" w:hAnsiTheme="minorHAnsi"/>
      <w:lang w:eastAsia="zh-CN"/>
    </w:rPr>
  </w:style>
  <w:style w:type="character" w:customStyle="1" w:styleId="normaltextrun">
    <w:name w:val="normaltextrun"/>
    <w:basedOn w:val="DefaultParagraphFont"/>
    <w:rsid w:val="003C428E"/>
  </w:style>
  <w:style w:type="character" w:customStyle="1" w:styleId="eop">
    <w:name w:val="eop"/>
    <w:basedOn w:val="DefaultParagraphFont"/>
    <w:rsid w:val="003C428E"/>
  </w:style>
  <w:style w:type="character" w:customStyle="1" w:styleId="Mention1">
    <w:name w:val="Mention1"/>
    <w:basedOn w:val="DefaultParagraphFont"/>
    <w:uiPriority w:val="99"/>
    <w:unhideWhenUsed/>
    <w:rsid w:val="0053182B"/>
    <w:rPr>
      <w:color w:val="2B579A"/>
      <w:shd w:val="clear" w:color="auto" w:fill="E1DFDD"/>
    </w:rPr>
  </w:style>
  <w:style w:type="character" w:styleId="UnresolvedMention">
    <w:name w:val="Unresolved Mention"/>
    <w:basedOn w:val="DefaultParagraphFont"/>
    <w:uiPriority w:val="99"/>
    <w:semiHidden/>
    <w:unhideWhenUsed/>
    <w:rsid w:val="00F95EB7"/>
    <w:rPr>
      <w:color w:val="605E5C"/>
      <w:shd w:val="clear" w:color="auto" w:fill="E1DFDD"/>
    </w:rPr>
  </w:style>
  <w:style w:type="paragraph" w:styleId="BodyTextIndent">
    <w:name w:val="Body Text Indent"/>
    <w:basedOn w:val="Normal"/>
    <w:link w:val="BodyTextIndentChar"/>
    <w:rsid w:val="00A010CE"/>
    <w:pPr>
      <w:autoSpaceDE w:val="0"/>
      <w:autoSpaceDN w:val="0"/>
      <w:adjustRightInd w:val="0"/>
      <w:ind w:left="900"/>
    </w:pPr>
    <w:rPr>
      <w:rFonts w:ascii="TimesNewRoman" w:hAnsi="TimesNewRoman"/>
      <w:szCs w:val="20"/>
    </w:rPr>
  </w:style>
  <w:style w:type="character" w:customStyle="1" w:styleId="BodyTextIndentChar">
    <w:name w:val="Body Text Indent Char"/>
    <w:basedOn w:val="DefaultParagraphFont"/>
    <w:link w:val="BodyTextIndent"/>
    <w:rsid w:val="00A010CE"/>
    <w:rPr>
      <w:rFonts w:ascii="TimesNewRoman" w:eastAsia="Times New Roman" w:hAnsi="TimesNewRoman"/>
      <w:sz w:val="24"/>
    </w:rPr>
  </w:style>
  <w:style w:type="numbering" w:customStyle="1" w:styleId="CurrentList1">
    <w:name w:val="Current List1"/>
    <w:uiPriority w:val="99"/>
    <w:rsid w:val="00952936"/>
    <w:pPr>
      <w:numPr>
        <w:numId w:val="4"/>
      </w:numPr>
    </w:pPr>
  </w:style>
  <w:style w:type="numbering" w:customStyle="1" w:styleId="CurrentList2">
    <w:name w:val="Current List2"/>
    <w:uiPriority w:val="99"/>
    <w:rsid w:val="00C82447"/>
    <w:pPr>
      <w:numPr>
        <w:numId w:val="5"/>
      </w:numPr>
    </w:pPr>
  </w:style>
  <w:style w:type="numbering" w:customStyle="1" w:styleId="CurrentList3">
    <w:name w:val="Current List3"/>
    <w:uiPriority w:val="99"/>
    <w:rsid w:val="00C82447"/>
    <w:pPr>
      <w:numPr>
        <w:numId w:val="6"/>
      </w:numPr>
    </w:pPr>
  </w:style>
  <w:style w:type="numbering" w:customStyle="1" w:styleId="CurrentList4">
    <w:name w:val="Current List4"/>
    <w:uiPriority w:val="99"/>
    <w:rsid w:val="00C73DE6"/>
    <w:pPr>
      <w:numPr>
        <w:numId w:val="7"/>
      </w:numPr>
    </w:pPr>
  </w:style>
  <w:style w:type="numbering" w:customStyle="1" w:styleId="CurrentList5">
    <w:name w:val="Current List5"/>
    <w:uiPriority w:val="99"/>
    <w:rsid w:val="009524C1"/>
    <w:pPr>
      <w:numPr>
        <w:numId w:val="9"/>
      </w:numPr>
    </w:pPr>
  </w:style>
  <w:style w:type="paragraph" w:customStyle="1" w:styleId="BodyText1">
    <w:name w:val="Body Text1"/>
    <w:basedOn w:val="Normal"/>
    <w:uiPriority w:val="99"/>
    <w:rsid w:val="009524C1"/>
    <w:pPr>
      <w:numPr>
        <w:numId w:val="10"/>
      </w:numPr>
      <w:spacing w:line="288" w:lineRule="auto"/>
      <w:jc w:val="both"/>
    </w:pPr>
    <w:rPr>
      <w:sz w:val="20"/>
      <w:szCs w:val="22"/>
    </w:rPr>
  </w:style>
  <w:style w:type="numbering" w:customStyle="1" w:styleId="CurrentList6">
    <w:name w:val="Current List6"/>
    <w:uiPriority w:val="99"/>
    <w:rsid w:val="00516C22"/>
    <w:pPr>
      <w:numPr>
        <w:numId w:val="11"/>
      </w:numPr>
    </w:pPr>
  </w:style>
  <w:style w:type="numbering" w:customStyle="1" w:styleId="CurrentList7">
    <w:name w:val="Current List7"/>
    <w:uiPriority w:val="99"/>
    <w:rsid w:val="00372FB0"/>
    <w:pPr>
      <w:numPr>
        <w:numId w:val="12"/>
      </w:numPr>
    </w:pPr>
  </w:style>
  <w:style w:type="paragraph" w:customStyle="1" w:styleId="AABodytext">
    <w:name w:val="AA Body text"/>
    <w:basedOn w:val="Normal"/>
    <w:autoRedefine/>
    <w:uiPriority w:val="99"/>
    <w:rsid w:val="00A85B30"/>
    <w:pPr>
      <w:widowControl w:val="0"/>
      <w:numPr>
        <w:numId w:val="13"/>
      </w:numPr>
      <w:spacing w:line="288" w:lineRule="auto"/>
      <w:ind w:hanging="720"/>
      <w:jc w:val="both"/>
    </w:pPr>
    <w:rPr>
      <w:sz w:val="20"/>
      <w:szCs w:val="20"/>
      <w:lang w:eastAsia="en-CA"/>
    </w:rPr>
  </w:style>
  <w:style w:type="numbering" w:customStyle="1" w:styleId="CurrentList8">
    <w:name w:val="Current List8"/>
    <w:uiPriority w:val="99"/>
    <w:rsid w:val="00A85B30"/>
    <w:pPr>
      <w:numPr>
        <w:numId w:val="14"/>
      </w:numPr>
    </w:pPr>
  </w:style>
  <w:style w:type="paragraph" w:customStyle="1" w:styleId="BodytextCh5">
    <w:name w:val="Body text Ch 5"/>
    <w:basedOn w:val="BodyText1"/>
    <w:qFormat/>
    <w:rsid w:val="00A85B30"/>
    <w:pPr>
      <w:numPr>
        <w:numId w:val="16"/>
      </w:numPr>
    </w:pPr>
  </w:style>
  <w:style w:type="numbering" w:customStyle="1" w:styleId="CurrentList9">
    <w:name w:val="Current List9"/>
    <w:uiPriority w:val="99"/>
    <w:rsid w:val="00A85B30"/>
    <w:pPr>
      <w:numPr>
        <w:numId w:val="15"/>
      </w:numPr>
    </w:pPr>
  </w:style>
  <w:style w:type="numbering" w:customStyle="1" w:styleId="CurrentList10">
    <w:name w:val="Current List10"/>
    <w:uiPriority w:val="99"/>
    <w:rsid w:val="00A85B30"/>
    <w:pPr>
      <w:numPr>
        <w:numId w:val="17"/>
      </w:numPr>
    </w:pPr>
  </w:style>
  <w:style w:type="numbering" w:customStyle="1" w:styleId="CurrentList11">
    <w:name w:val="Current List11"/>
    <w:uiPriority w:val="99"/>
    <w:rsid w:val="00CC48E5"/>
    <w:pPr>
      <w:numPr>
        <w:numId w:val="18"/>
      </w:numPr>
    </w:pPr>
  </w:style>
  <w:style w:type="character" w:customStyle="1" w:styleId="apple-converted-space">
    <w:name w:val="apple-converted-space"/>
    <w:basedOn w:val="DefaultParagraphFont"/>
    <w:rsid w:val="00C81F8C"/>
  </w:style>
  <w:style w:type="paragraph" w:customStyle="1" w:styleId="BVIfnrChar">
    <w:name w:val="BVI fnr Char"/>
    <w:aliases w:val=" BVI fnr Car Car Char,BVI fnr Car Char, BVI fnr Car Car Car Car Char Char,BVI fnr Car Car Char,BVI fnr Car Car Car Car Char, BVI fnr Car Char, BVI fnr Car Car Car Char, BVI fnr Car Car Car Car Car Char,BVI fnr Car Car Car Char"/>
    <w:basedOn w:val="Normal"/>
    <w:link w:val="FootnoteReference"/>
    <w:uiPriority w:val="99"/>
    <w:rsid w:val="00F61A08"/>
    <w:pPr>
      <w:spacing w:after="160" w:line="240" w:lineRule="exact"/>
    </w:pPr>
    <w:rPr>
      <w:rFonts w:eastAsia="PMingLiU"/>
      <w:sz w:val="20"/>
      <w:szCs w:val="20"/>
      <w:vertAlign w:val="superscript"/>
      <w:lang w:val="en-US" w:eastAsia="en-US"/>
    </w:rPr>
  </w:style>
  <w:style w:type="paragraph" w:styleId="Caption">
    <w:name w:val="caption"/>
    <w:aliases w:val="Caption Table"/>
    <w:basedOn w:val="Normal"/>
    <w:next w:val="Normal"/>
    <w:uiPriority w:val="35"/>
    <w:qFormat/>
    <w:rsid w:val="00F61A08"/>
    <w:pPr>
      <w:keepNext/>
      <w:spacing w:after="120"/>
      <w:jc w:val="both"/>
    </w:pPr>
    <w:rPr>
      <w:rFonts w:ascii="Calibri" w:hAnsi="Calibri"/>
      <w:b/>
      <w:bCs/>
      <w:sz w:val="22"/>
      <w:szCs w:val="20"/>
      <w:lang w:val="en-CA" w:eastAsia="en-US"/>
    </w:rPr>
  </w:style>
  <w:style w:type="numbering" w:customStyle="1" w:styleId="CurrentList12">
    <w:name w:val="Current List12"/>
    <w:uiPriority w:val="99"/>
    <w:rsid w:val="00F61A08"/>
    <w:pPr>
      <w:numPr>
        <w:numId w:val="27"/>
      </w:numPr>
    </w:pPr>
  </w:style>
  <w:style w:type="numbering" w:customStyle="1" w:styleId="CurrentList13">
    <w:name w:val="Current List13"/>
    <w:uiPriority w:val="99"/>
    <w:rsid w:val="00EF54B4"/>
    <w:pPr>
      <w:numPr>
        <w:numId w:val="29"/>
      </w:numPr>
    </w:pPr>
  </w:style>
  <w:style w:type="numbering" w:customStyle="1" w:styleId="CurrentList14">
    <w:name w:val="Current List14"/>
    <w:uiPriority w:val="99"/>
    <w:rsid w:val="00EF54B4"/>
    <w:pPr>
      <w:numPr>
        <w:numId w:val="30"/>
      </w:numPr>
    </w:pPr>
  </w:style>
  <w:style w:type="numbering" w:customStyle="1" w:styleId="CurrentList15">
    <w:name w:val="Current List15"/>
    <w:uiPriority w:val="99"/>
    <w:rsid w:val="00EF54B4"/>
    <w:pPr>
      <w:numPr>
        <w:numId w:val="31"/>
      </w:numPr>
    </w:pPr>
  </w:style>
  <w:style w:type="numbering" w:customStyle="1" w:styleId="CurrentList16">
    <w:name w:val="Current List16"/>
    <w:uiPriority w:val="99"/>
    <w:rsid w:val="00EF54B4"/>
    <w:pPr>
      <w:numPr>
        <w:numId w:val="32"/>
      </w:numPr>
    </w:pPr>
  </w:style>
  <w:style w:type="numbering" w:customStyle="1" w:styleId="CurrentList17">
    <w:name w:val="Current List17"/>
    <w:uiPriority w:val="99"/>
    <w:rsid w:val="00412155"/>
    <w:pPr>
      <w:numPr>
        <w:numId w:val="35"/>
      </w:numPr>
    </w:pPr>
  </w:style>
  <w:style w:type="numbering" w:customStyle="1" w:styleId="CurrentList18">
    <w:name w:val="Current List18"/>
    <w:uiPriority w:val="99"/>
    <w:rsid w:val="00070D33"/>
    <w:pPr>
      <w:numPr>
        <w:numId w:val="36"/>
      </w:numPr>
    </w:pPr>
  </w:style>
  <w:style w:type="numbering" w:customStyle="1" w:styleId="CurrentList19">
    <w:name w:val="Current List19"/>
    <w:uiPriority w:val="99"/>
    <w:rsid w:val="00070D33"/>
    <w:pPr>
      <w:numPr>
        <w:numId w:val="37"/>
      </w:numPr>
    </w:pPr>
  </w:style>
  <w:style w:type="paragraph" w:customStyle="1" w:styleId="ESTAT-FigureNumber">
    <w:name w:val="ESTAT - Figure Number"/>
    <w:basedOn w:val="Normal"/>
    <w:qFormat/>
    <w:rsid w:val="00123A00"/>
    <w:pPr>
      <w:widowControl w:val="0"/>
      <w:suppressAutoHyphens/>
      <w:autoSpaceDE w:val="0"/>
      <w:autoSpaceDN w:val="0"/>
      <w:adjustRightInd w:val="0"/>
      <w:spacing w:before="240" w:line="264" w:lineRule="auto"/>
      <w:textAlignment w:val="center"/>
    </w:pPr>
    <w:rPr>
      <w:rFonts w:ascii="Arial" w:hAnsi="Arial" w:cs="Open Sans"/>
      <w:b/>
      <w:bCs/>
      <w:color w:val="FFFFFF"/>
      <w:sz w:val="22"/>
      <w:szCs w:val="20"/>
      <w:bdr w:val="single" w:sz="12" w:space="0" w:color="2644A7"/>
      <w:shd w:val="clear" w:color="auto" w:fill="2644A7"/>
      <w:lang w:val="en-US" w:eastAsia="fr-FR"/>
    </w:rPr>
  </w:style>
  <w:style w:type="paragraph" w:customStyle="1" w:styleId="ESTAT-Heading1">
    <w:name w:val="ESTAT - Heading 1"/>
    <w:basedOn w:val="Heading1"/>
    <w:qFormat/>
    <w:rsid w:val="00123A00"/>
    <w:pPr>
      <w:keepNext w:val="0"/>
      <w:keepLines w:val="0"/>
      <w:widowControl w:val="0"/>
      <w:numPr>
        <w:numId w:val="38"/>
      </w:numPr>
      <w:suppressAutoHyphens/>
      <w:autoSpaceDE w:val="0"/>
      <w:autoSpaceDN w:val="0"/>
      <w:adjustRightInd w:val="0"/>
      <w:spacing w:after="120" w:line="288" w:lineRule="auto"/>
      <w:textAlignment w:val="center"/>
    </w:pPr>
    <w:rPr>
      <w:rFonts w:ascii="Arial" w:eastAsia="Times New Roman" w:hAnsi="Arial" w:cs="Open Sans"/>
      <w:bCs/>
      <w:color w:val="FFFFFF" w:themeColor="background1"/>
      <w:sz w:val="46"/>
      <w:szCs w:val="40"/>
      <w:lang w:val="en-US" w:eastAsia="fr-FR"/>
    </w:rPr>
  </w:style>
  <w:style w:type="paragraph" w:customStyle="1" w:styleId="ESTAT-Heading2">
    <w:name w:val="ESTAT - Heading 2"/>
    <w:basedOn w:val="Heading2"/>
    <w:qFormat/>
    <w:rsid w:val="00123A00"/>
    <w:pPr>
      <w:keepLines w:val="0"/>
      <w:widowControl w:val="0"/>
      <w:numPr>
        <w:numId w:val="38"/>
      </w:numPr>
      <w:suppressAutoHyphens/>
      <w:autoSpaceDE w:val="0"/>
      <w:autoSpaceDN w:val="0"/>
      <w:adjustRightInd w:val="0"/>
      <w:spacing w:before="360" w:line="288" w:lineRule="auto"/>
      <w:textAlignment w:val="center"/>
    </w:pPr>
    <w:rPr>
      <w:rFonts w:ascii="Arial" w:eastAsia="Times New Roman" w:hAnsi="Arial" w:cs="Open Sans"/>
      <w:color w:val="2644A7"/>
      <w:sz w:val="36"/>
      <w:szCs w:val="36"/>
      <w:lang w:eastAsia="fr-FR"/>
    </w:rPr>
  </w:style>
  <w:style w:type="paragraph" w:customStyle="1" w:styleId="ESTAT-Heading3">
    <w:name w:val="ESTAT - Heading 3"/>
    <w:qFormat/>
    <w:rsid w:val="00123A00"/>
    <w:pPr>
      <w:numPr>
        <w:ilvl w:val="2"/>
        <w:numId w:val="38"/>
      </w:numPr>
      <w:suppressAutoHyphens/>
      <w:spacing w:before="360" w:after="120"/>
    </w:pPr>
    <w:rPr>
      <w:rFonts w:ascii="Arial" w:eastAsia="Times New Roman" w:hAnsi="Arial" w:cs="Open Sans"/>
      <w:b/>
      <w:bCs/>
      <w:color w:val="3278BC" w:themeColor="accent3" w:themeShade="BF"/>
      <w:sz w:val="32"/>
      <w:szCs w:val="32"/>
      <w:lang w:val="en-GB" w:eastAsia="fr-FR"/>
    </w:rPr>
  </w:style>
  <w:style w:type="paragraph" w:customStyle="1" w:styleId="ESTAT-Footnote">
    <w:name w:val="ESTAT - Footnote"/>
    <w:basedOn w:val="Normal"/>
    <w:rsid w:val="00C74EDD"/>
    <w:pPr>
      <w:keepNext/>
      <w:keepLines/>
      <w:widowControl w:val="0"/>
      <w:suppressAutoHyphens/>
      <w:autoSpaceDE w:val="0"/>
      <w:autoSpaceDN w:val="0"/>
      <w:adjustRightInd w:val="0"/>
      <w:spacing w:before="60" w:after="60" w:line="276" w:lineRule="auto"/>
      <w:jc w:val="both"/>
      <w:textAlignment w:val="center"/>
    </w:pPr>
    <w:rPr>
      <w:rFonts w:ascii="Arial" w:hAnsi="Arial" w:cs="Open Sans Light"/>
      <w:color w:val="000000"/>
      <w:sz w:val="18"/>
      <w:szCs w:val="18"/>
      <w:lang w:val="en-GB" w:eastAsia="fr-FR"/>
    </w:rPr>
  </w:style>
  <w:style w:type="paragraph" w:customStyle="1" w:styleId="Tabletext-left">
    <w:name w:val="Table text - left"/>
    <w:basedOn w:val="Normal"/>
    <w:rsid w:val="00C74EDD"/>
    <w:pPr>
      <w:suppressAutoHyphens/>
      <w:spacing w:line="276" w:lineRule="auto"/>
    </w:pPr>
    <w:rPr>
      <w:rFonts w:ascii="Arial" w:hAnsi="Arial"/>
      <w:kern w:val="2"/>
      <w:sz w:val="20"/>
      <w:lang w:val="en-GB" w:eastAsia="fr-FR"/>
    </w:rPr>
  </w:style>
  <w:style w:type="paragraph" w:customStyle="1" w:styleId="Tabletext-centred">
    <w:name w:val="Table text - centred"/>
    <w:basedOn w:val="Normal"/>
    <w:rsid w:val="00C74EDD"/>
    <w:pPr>
      <w:suppressAutoHyphens/>
      <w:spacing w:line="276" w:lineRule="auto"/>
      <w:jc w:val="center"/>
    </w:pPr>
    <w:rPr>
      <w:rFonts w:ascii="Arial" w:hAnsi="Arial"/>
      <w:color w:val="000000" w:themeColor="text1"/>
      <w:kern w:val="2"/>
      <w:sz w:val="20"/>
      <w:lang w:val="en-GB" w:eastAsia="fr-FR"/>
    </w:rPr>
  </w:style>
  <w:style w:type="paragraph" w:customStyle="1" w:styleId="Tabletext-Heading">
    <w:name w:val="Table text - Heading"/>
    <w:basedOn w:val="Tabletext-centred"/>
    <w:rsid w:val="00C74EDD"/>
    <w:pPr>
      <w:spacing w:before="60" w:after="60" w:line="240" w:lineRule="auto"/>
    </w:pPr>
    <w:rPr>
      <w:b/>
      <w:color w:val="FFFFFF" w:themeColor="background1"/>
    </w:rPr>
  </w:style>
  <w:style w:type="table" w:customStyle="1" w:styleId="EAHandbookdatatable">
    <w:name w:val="EA Handbook data table"/>
    <w:basedOn w:val="TableNormal"/>
    <w:uiPriority w:val="99"/>
    <w:rsid w:val="00C74EDD"/>
    <w:pPr>
      <w:suppressAutoHyphens/>
      <w:spacing w:before="60" w:after="60" w:line="276" w:lineRule="auto"/>
    </w:pPr>
    <w:rPr>
      <w:rFonts w:ascii="Arial" w:eastAsia="Times New Roman" w:hAnsi="Arial"/>
      <w:lang w:val="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F2E7" w:themeFill="accent5" w:themeFillTint="33"/>
      <w:vAlign w:val="center"/>
    </w:tcPr>
    <w:tblStylePr w:type="firstRow">
      <w:pPr>
        <w:wordWrap/>
        <w:spacing w:beforeLines="0" w:before="60" w:beforeAutospacing="0" w:afterLines="0" w:after="60" w:afterAutospacing="0"/>
        <w:contextualSpacing w:val="0"/>
      </w:pPr>
      <w:rPr>
        <w:rFonts w:ascii="Arial" w:hAnsi="Arial"/>
      </w:rPr>
      <w:tblPr/>
      <w:tcPr>
        <w:shd w:val="clear" w:color="auto" w:fill="197598" w:themeFill="accent1"/>
      </w:tcPr>
    </w:tblStylePr>
    <w:tblStylePr w:type="band1Horz">
      <w:tblPr/>
      <w:tcPr>
        <w:shd w:val="clear" w:color="auto" w:fill="FBFBF8" w:themeFill="background2" w:themeFillTint="33"/>
      </w:tcPr>
    </w:tblStylePr>
    <w:tblStylePr w:type="band2Horz">
      <w:rPr>
        <w:rFonts w:ascii="Arial" w:hAnsi="Arial"/>
      </w:rPr>
      <w:tblPr/>
      <w:tcPr>
        <w:shd w:val="clear" w:color="auto" w:fill="FFFFFF" w:themeFill="background1"/>
      </w:tcPr>
    </w:tblStylePr>
  </w:style>
  <w:style w:type="paragraph" w:customStyle="1" w:styleId="Nota">
    <w:name w:val="Nota"/>
    <w:aliases w:val="Char1,(NECG) Footnote Reference,fr,Appel note de bas de p,o,Style 6,Signature Ch"/>
    <w:basedOn w:val="Normal"/>
    <w:uiPriority w:val="99"/>
    <w:rsid w:val="00C74EDD"/>
    <w:pPr>
      <w:spacing w:after="160" w:line="240" w:lineRule="exact"/>
    </w:pPr>
    <w:rPr>
      <w:rFonts w:ascii="Arial" w:hAnsi="Arial"/>
      <w:sz w:val="20"/>
      <w:szCs w:val="20"/>
      <w:vertAlign w:val="superscript"/>
      <w:lang w:val="en-GB" w:eastAsia="en-US"/>
    </w:rPr>
  </w:style>
  <w:style w:type="paragraph" w:styleId="TOC4">
    <w:name w:val="toc 4"/>
    <w:basedOn w:val="Normal"/>
    <w:next w:val="Normal"/>
    <w:autoRedefine/>
    <w:unhideWhenUsed/>
    <w:rsid w:val="00A914A9"/>
    <w:pPr>
      <w:ind w:left="720"/>
    </w:pPr>
    <w:rPr>
      <w:rFonts w:asciiTheme="minorHAnsi" w:hAnsiTheme="minorHAnsi" w:cstheme="minorHAnsi"/>
      <w:sz w:val="18"/>
      <w:szCs w:val="18"/>
    </w:rPr>
  </w:style>
  <w:style w:type="paragraph" w:styleId="TOC5">
    <w:name w:val="toc 5"/>
    <w:basedOn w:val="Normal"/>
    <w:next w:val="Normal"/>
    <w:autoRedefine/>
    <w:unhideWhenUsed/>
    <w:rsid w:val="00A914A9"/>
    <w:pPr>
      <w:ind w:left="960"/>
    </w:pPr>
    <w:rPr>
      <w:rFonts w:asciiTheme="minorHAnsi" w:hAnsiTheme="minorHAnsi" w:cstheme="minorHAnsi"/>
      <w:sz w:val="18"/>
      <w:szCs w:val="18"/>
    </w:rPr>
  </w:style>
  <w:style w:type="paragraph" w:styleId="TOC6">
    <w:name w:val="toc 6"/>
    <w:basedOn w:val="Normal"/>
    <w:next w:val="Normal"/>
    <w:autoRedefine/>
    <w:unhideWhenUsed/>
    <w:rsid w:val="00A914A9"/>
    <w:pPr>
      <w:ind w:left="1200"/>
    </w:pPr>
    <w:rPr>
      <w:rFonts w:asciiTheme="minorHAnsi" w:hAnsiTheme="minorHAnsi" w:cstheme="minorHAnsi"/>
      <w:sz w:val="18"/>
      <w:szCs w:val="18"/>
    </w:rPr>
  </w:style>
  <w:style w:type="paragraph" w:styleId="TOC7">
    <w:name w:val="toc 7"/>
    <w:basedOn w:val="Normal"/>
    <w:next w:val="Normal"/>
    <w:autoRedefine/>
    <w:unhideWhenUsed/>
    <w:rsid w:val="00A914A9"/>
    <w:pPr>
      <w:ind w:left="1440"/>
    </w:pPr>
    <w:rPr>
      <w:rFonts w:asciiTheme="minorHAnsi" w:hAnsiTheme="minorHAnsi" w:cstheme="minorHAnsi"/>
      <w:sz w:val="18"/>
      <w:szCs w:val="18"/>
    </w:rPr>
  </w:style>
  <w:style w:type="paragraph" w:styleId="TOC8">
    <w:name w:val="toc 8"/>
    <w:basedOn w:val="Normal"/>
    <w:next w:val="Normal"/>
    <w:autoRedefine/>
    <w:unhideWhenUsed/>
    <w:rsid w:val="00A914A9"/>
    <w:pPr>
      <w:ind w:left="1680"/>
    </w:pPr>
    <w:rPr>
      <w:rFonts w:asciiTheme="minorHAnsi" w:hAnsiTheme="minorHAnsi" w:cstheme="minorHAnsi"/>
      <w:sz w:val="18"/>
      <w:szCs w:val="18"/>
    </w:rPr>
  </w:style>
  <w:style w:type="paragraph" w:styleId="TOC9">
    <w:name w:val="toc 9"/>
    <w:basedOn w:val="Normal"/>
    <w:next w:val="Normal"/>
    <w:autoRedefine/>
    <w:unhideWhenUsed/>
    <w:rsid w:val="00A914A9"/>
    <w:pPr>
      <w:ind w:left="1920"/>
    </w:pPr>
    <w:rPr>
      <w:rFonts w:asciiTheme="minorHAnsi" w:hAnsiTheme="minorHAnsi" w:cstheme="minorHAnsi"/>
      <w:sz w:val="18"/>
      <w:szCs w:val="18"/>
    </w:rPr>
  </w:style>
  <w:style w:type="paragraph" w:customStyle="1" w:styleId="p1">
    <w:name w:val="p1"/>
    <w:basedOn w:val="Normal"/>
    <w:rsid w:val="00FA557B"/>
    <w:rPr>
      <w:rFonts w:ascii="Helvetica" w:hAnsi="Helvetica"/>
      <w:color w:val="141413"/>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263">
      <w:bodyDiv w:val="1"/>
      <w:marLeft w:val="0"/>
      <w:marRight w:val="0"/>
      <w:marTop w:val="0"/>
      <w:marBottom w:val="0"/>
      <w:divBdr>
        <w:top w:val="none" w:sz="0" w:space="0" w:color="auto"/>
        <w:left w:val="none" w:sz="0" w:space="0" w:color="auto"/>
        <w:bottom w:val="none" w:sz="0" w:space="0" w:color="auto"/>
        <w:right w:val="none" w:sz="0" w:space="0" w:color="auto"/>
      </w:divBdr>
      <w:divsChild>
        <w:div w:id="1468862331">
          <w:marLeft w:val="0"/>
          <w:marRight w:val="0"/>
          <w:marTop w:val="0"/>
          <w:marBottom w:val="0"/>
          <w:divBdr>
            <w:top w:val="none" w:sz="0" w:space="0" w:color="auto"/>
            <w:left w:val="none" w:sz="0" w:space="0" w:color="auto"/>
            <w:bottom w:val="none" w:sz="0" w:space="0" w:color="auto"/>
            <w:right w:val="none" w:sz="0" w:space="0" w:color="auto"/>
          </w:divBdr>
        </w:div>
        <w:div w:id="2055304366">
          <w:marLeft w:val="0"/>
          <w:marRight w:val="0"/>
          <w:marTop w:val="0"/>
          <w:marBottom w:val="0"/>
          <w:divBdr>
            <w:top w:val="none" w:sz="0" w:space="0" w:color="auto"/>
            <w:left w:val="none" w:sz="0" w:space="0" w:color="auto"/>
            <w:bottom w:val="none" w:sz="0" w:space="0" w:color="auto"/>
            <w:right w:val="none" w:sz="0" w:space="0" w:color="auto"/>
          </w:divBdr>
        </w:div>
      </w:divsChild>
    </w:div>
    <w:div w:id="6373138">
      <w:bodyDiv w:val="1"/>
      <w:marLeft w:val="0"/>
      <w:marRight w:val="0"/>
      <w:marTop w:val="0"/>
      <w:marBottom w:val="0"/>
      <w:divBdr>
        <w:top w:val="none" w:sz="0" w:space="0" w:color="auto"/>
        <w:left w:val="none" w:sz="0" w:space="0" w:color="auto"/>
        <w:bottom w:val="none" w:sz="0" w:space="0" w:color="auto"/>
        <w:right w:val="none" w:sz="0" w:space="0" w:color="auto"/>
      </w:divBdr>
      <w:divsChild>
        <w:div w:id="183370222">
          <w:marLeft w:val="0"/>
          <w:marRight w:val="0"/>
          <w:marTop w:val="0"/>
          <w:marBottom w:val="0"/>
          <w:divBdr>
            <w:top w:val="none" w:sz="0" w:space="0" w:color="auto"/>
            <w:left w:val="none" w:sz="0" w:space="0" w:color="auto"/>
            <w:bottom w:val="none" w:sz="0" w:space="0" w:color="auto"/>
            <w:right w:val="none" w:sz="0" w:space="0" w:color="auto"/>
          </w:divBdr>
          <w:divsChild>
            <w:div w:id="855997025">
              <w:marLeft w:val="0"/>
              <w:marRight w:val="0"/>
              <w:marTop w:val="0"/>
              <w:marBottom w:val="0"/>
              <w:divBdr>
                <w:top w:val="none" w:sz="0" w:space="0" w:color="auto"/>
                <w:left w:val="none" w:sz="0" w:space="0" w:color="auto"/>
                <w:bottom w:val="none" w:sz="0" w:space="0" w:color="auto"/>
                <w:right w:val="none" w:sz="0" w:space="0" w:color="auto"/>
              </w:divBdr>
              <w:divsChild>
                <w:div w:id="150536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807354">
          <w:marLeft w:val="0"/>
          <w:marRight w:val="0"/>
          <w:marTop w:val="0"/>
          <w:marBottom w:val="0"/>
          <w:divBdr>
            <w:top w:val="none" w:sz="0" w:space="0" w:color="auto"/>
            <w:left w:val="none" w:sz="0" w:space="0" w:color="auto"/>
            <w:bottom w:val="none" w:sz="0" w:space="0" w:color="auto"/>
            <w:right w:val="none" w:sz="0" w:space="0" w:color="auto"/>
          </w:divBdr>
          <w:divsChild>
            <w:div w:id="665481495">
              <w:marLeft w:val="0"/>
              <w:marRight w:val="0"/>
              <w:marTop w:val="0"/>
              <w:marBottom w:val="0"/>
              <w:divBdr>
                <w:top w:val="none" w:sz="0" w:space="0" w:color="auto"/>
                <w:left w:val="none" w:sz="0" w:space="0" w:color="auto"/>
                <w:bottom w:val="none" w:sz="0" w:space="0" w:color="auto"/>
                <w:right w:val="none" w:sz="0" w:space="0" w:color="auto"/>
              </w:divBdr>
              <w:divsChild>
                <w:div w:id="209277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92608">
          <w:marLeft w:val="0"/>
          <w:marRight w:val="0"/>
          <w:marTop w:val="0"/>
          <w:marBottom w:val="0"/>
          <w:divBdr>
            <w:top w:val="none" w:sz="0" w:space="0" w:color="auto"/>
            <w:left w:val="none" w:sz="0" w:space="0" w:color="auto"/>
            <w:bottom w:val="none" w:sz="0" w:space="0" w:color="auto"/>
            <w:right w:val="none" w:sz="0" w:space="0" w:color="auto"/>
          </w:divBdr>
          <w:divsChild>
            <w:div w:id="908922339">
              <w:marLeft w:val="0"/>
              <w:marRight w:val="0"/>
              <w:marTop w:val="0"/>
              <w:marBottom w:val="0"/>
              <w:divBdr>
                <w:top w:val="none" w:sz="0" w:space="0" w:color="auto"/>
                <w:left w:val="none" w:sz="0" w:space="0" w:color="auto"/>
                <w:bottom w:val="none" w:sz="0" w:space="0" w:color="auto"/>
                <w:right w:val="none" w:sz="0" w:space="0" w:color="auto"/>
              </w:divBdr>
              <w:divsChild>
                <w:div w:id="28188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857351">
          <w:marLeft w:val="0"/>
          <w:marRight w:val="0"/>
          <w:marTop w:val="0"/>
          <w:marBottom w:val="0"/>
          <w:divBdr>
            <w:top w:val="none" w:sz="0" w:space="0" w:color="auto"/>
            <w:left w:val="none" w:sz="0" w:space="0" w:color="auto"/>
            <w:bottom w:val="none" w:sz="0" w:space="0" w:color="auto"/>
            <w:right w:val="none" w:sz="0" w:space="0" w:color="auto"/>
          </w:divBdr>
          <w:divsChild>
            <w:div w:id="52705623">
              <w:marLeft w:val="0"/>
              <w:marRight w:val="0"/>
              <w:marTop w:val="0"/>
              <w:marBottom w:val="0"/>
              <w:divBdr>
                <w:top w:val="none" w:sz="0" w:space="0" w:color="auto"/>
                <w:left w:val="none" w:sz="0" w:space="0" w:color="auto"/>
                <w:bottom w:val="none" w:sz="0" w:space="0" w:color="auto"/>
                <w:right w:val="none" w:sz="0" w:space="0" w:color="auto"/>
              </w:divBdr>
              <w:divsChild>
                <w:div w:id="23188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399607">
          <w:marLeft w:val="0"/>
          <w:marRight w:val="0"/>
          <w:marTop w:val="0"/>
          <w:marBottom w:val="0"/>
          <w:divBdr>
            <w:top w:val="none" w:sz="0" w:space="0" w:color="auto"/>
            <w:left w:val="none" w:sz="0" w:space="0" w:color="auto"/>
            <w:bottom w:val="none" w:sz="0" w:space="0" w:color="auto"/>
            <w:right w:val="none" w:sz="0" w:space="0" w:color="auto"/>
          </w:divBdr>
          <w:divsChild>
            <w:div w:id="1998916587">
              <w:marLeft w:val="0"/>
              <w:marRight w:val="0"/>
              <w:marTop w:val="0"/>
              <w:marBottom w:val="0"/>
              <w:divBdr>
                <w:top w:val="none" w:sz="0" w:space="0" w:color="auto"/>
                <w:left w:val="none" w:sz="0" w:space="0" w:color="auto"/>
                <w:bottom w:val="none" w:sz="0" w:space="0" w:color="auto"/>
                <w:right w:val="none" w:sz="0" w:space="0" w:color="auto"/>
              </w:divBdr>
              <w:divsChild>
                <w:div w:id="1724911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4766">
      <w:bodyDiv w:val="1"/>
      <w:marLeft w:val="0"/>
      <w:marRight w:val="0"/>
      <w:marTop w:val="0"/>
      <w:marBottom w:val="0"/>
      <w:divBdr>
        <w:top w:val="none" w:sz="0" w:space="0" w:color="auto"/>
        <w:left w:val="none" w:sz="0" w:space="0" w:color="auto"/>
        <w:bottom w:val="none" w:sz="0" w:space="0" w:color="auto"/>
        <w:right w:val="none" w:sz="0" w:space="0" w:color="auto"/>
      </w:divBdr>
    </w:div>
    <w:div w:id="330380377">
      <w:bodyDiv w:val="1"/>
      <w:marLeft w:val="0"/>
      <w:marRight w:val="0"/>
      <w:marTop w:val="0"/>
      <w:marBottom w:val="0"/>
      <w:divBdr>
        <w:top w:val="none" w:sz="0" w:space="0" w:color="auto"/>
        <w:left w:val="none" w:sz="0" w:space="0" w:color="auto"/>
        <w:bottom w:val="none" w:sz="0" w:space="0" w:color="auto"/>
        <w:right w:val="none" w:sz="0" w:space="0" w:color="auto"/>
      </w:divBdr>
    </w:div>
    <w:div w:id="426735038">
      <w:bodyDiv w:val="1"/>
      <w:marLeft w:val="0"/>
      <w:marRight w:val="0"/>
      <w:marTop w:val="0"/>
      <w:marBottom w:val="0"/>
      <w:divBdr>
        <w:top w:val="none" w:sz="0" w:space="0" w:color="auto"/>
        <w:left w:val="none" w:sz="0" w:space="0" w:color="auto"/>
        <w:bottom w:val="none" w:sz="0" w:space="0" w:color="auto"/>
        <w:right w:val="none" w:sz="0" w:space="0" w:color="auto"/>
      </w:divBdr>
      <w:divsChild>
        <w:div w:id="1640768143">
          <w:marLeft w:val="0"/>
          <w:marRight w:val="0"/>
          <w:marTop w:val="0"/>
          <w:marBottom w:val="0"/>
          <w:divBdr>
            <w:top w:val="none" w:sz="0" w:space="0" w:color="auto"/>
            <w:left w:val="none" w:sz="0" w:space="0" w:color="auto"/>
            <w:bottom w:val="none" w:sz="0" w:space="0" w:color="auto"/>
            <w:right w:val="none" w:sz="0" w:space="0" w:color="auto"/>
          </w:divBdr>
        </w:div>
        <w:div w:id="1336617497">
          <w:marLeft w:val="0"/>
          <w:marRight w:val="0"/>
          <w:marTop w:val="0"/>
          <w:marBottom w:val="0"/>
          <w:divBdr>
            <w:top w:val="none" w:sz="0" w:space="0" w:color="auto"/>
            <w:left w:val="none" w:sz="0" w:space="0" w:color="auto"/>
            <w:bottom w:val="none" w:sz="0" w:space="0" w:color="auto"/>
            <w:right w:val="none" w:sz="0" w:space="0" w:color="auto"/>
          </w:divBdr>
        </w:div>
        <w:div w:id="145440698">
          <w:marLeft w:val="0"/>
          <w:marRight w:val="0"/>
          <w:marTop w:val="0"/>
          <w:marBottom w:val="0"/>
          <w:divBdr>
            <w:top w:val="none" w:sz="0" w:space="0" w:color="auto"/>
            <w:left w:val="none" w:sz="0" w:space="0" w:color="auto"/>
            <w:bottom w:val="none" w:sz="0" w:space="0" w:color="auto"/>
            <w:right w:val="none" w:sz="0" w:space="0" w:color="auto"/>
          </w:divBdr>
        </w:div>
        <w:div w:id="1788042792">
          <w:marLeft w:val="720"/>
          <w:marRight w:val="0"/>
          <w:marTop w:val="0"/>
          <w:marBottom w:val="0"/>
          <w:divBdr>
            <w:top w:val="none" w:sz="0" w:space="0" w:color="auto"/>
            <w:left w:val="none" w:sz="0" w:space="0" w:color="auto"/>
            <w:bottom w:val="none" w:sz="0" w:space="0" w:color="auto"/>
            <w:right w:val="none" w:sz="0" w:space="0" w:color="auto"/>
          </w:divBdr>
        </w:div>
        <w:div w:id="900213724">
          <w:marLeft w:val="0"/>
          <w:marRight w:val="0"/>
          <w:marTop w:val="0"/>
          <w:marBottom w:val="0"/>
          <w:divBdr>
            <w:top w:val="none" w:sz="0" w:space="0" w:color="auto"/>
            <w:left w:val="none" w:sz="0" w:space="0" w:color="auto"/>
            <w:bottom w:val="none" w:sz="0" w:space="0" w:color="auto"/>
            <w:right w:val="none" w:sz="0" w:space="0" w:color="auto"/>
          </w:divBdr>
        </w:div>
        <w:div w:id="630746001">
          <w:marLeft w:val="0"/>
          <w:marRight w:val="0"/>
          <w:marTop w:val="0"/>
          <w:marBottom w:val="0"/>
          <w:divBdr>
            <w:top w:val="none" w:sz="0" w:space="0" w:color="auto"/>
            <w:left w:val="none" w:sz="0" w:space="0" w:color="auto"/>
            <w:bottom w:val="none" w:sz="0" w:space="0" w:color="auto"/>
            <w:right w:val="none" w:sz="0" w:space="0" w:color="auto"/>
          </w:divBdr>
        </w:div>
        <w:div w:id="1414741802">
          <w:marLeft w:val="720"/>
          <w:marRight w:val="0"/>
          <w:marTop w:val="0"/>
          <w:marBottom w:val="0"/>
          <w:divBdr>
            <w:top w:val="none" w:sz="0" w:space="0" w:color="auto"/>
            <w:left w:val="none" w:sz="0" w:space="0" w:color="auto"/>
            <w:bottom w:val="none" w:sz="0" w:space="0" w:color="auto"/>
            <w:right w:val="none" w:sz="0" w:space="0" w:color="auto"/>
          </w:divBdr>
        </w:div>
        <w:div w:id="1393307928">
          <w:marLeft w:val="0"/>
          <w:marRight w:val="0"/>
          <w:marTop w:val="0"/>
          <w:marBottom w:val="0"/>
          <w:divBdr>
            <w:top w:val="none" w:sz="0" w:space="0" w:color="auto"/>
            <w:left w:val="none" w:sz="0" w:space="0" w:color="auto"/>
            <w:bottom w:val="none" w:sz="0" w:space="0" w:color="auto"/>
            <w:right w:val="none" w:sz="0" w:space="0" w:color="auto"/>
          </w:divBdr>
        </w:div>
        <w:div w:id="187373188">
          <w:marLeft w:val="0"/>
          <w:marRight w:val="0"/>
          <w:marTop w:val="0"/>
          <w:marBottom w:val="0"/>
          <w:divBdr>
            <w:top w:val="none" w:sz="0" w:space="0" w:color="auto"/>
            <w:left w:val="none" w:sz="0" w:space="0" w:color="auto"/>
            <w:bottom w:val="none" w:sz="0" w:space="0" w:color="auto"/>
            <w:right w:val="none" w:sz="0" w:space="0" w:color="auto"/>
          </w:divBdr>
        </w:div>
        <w:div w:id="1241601201">
          <w:marLeft w:val="0"/>
          <w:marRight w:val="0"/>
          <w:marTop w:val="0"/>
          <w:marBottom w:val="0"/>
          <w:divBdr>
            <w:top w:val="none" w:sz="0" w:space="0" w:color="auto"/>
            <w:left w:val="none" w:sz="0" w:space="0" w:color="auto"/>
            <w:bottom w:val="none" w:sz="0" w:space="0" w:color="auto"/>
            <w:right w:val="none" w:sz="0" w:space="0" w:color="auto"/>
          </w:divBdr>
        </w:div>
        <w:div w:id="421531179">
          <w:marLeft w:val="0"/>
          <w:marRight w:val="0"/>
          <w:marTop w:val="0"/>
          <w:marBottom w:val="0"/>
          <w:divBdr>
            <w:top w:val="none" w:sz="0" w:space="0" w:color="auto"/>
            <w:left w:val="none" w:sz="0" w:space="0" w:color="auto"/>
            <w:bottom w:val="none" w:sz="0" w:space="0" w:color="auto"/>
            <w:right w:val="none" w:sz="0" w:space="0" w:color="auto"/>
          </w:divBdr>
        </w:div>
        <w:div w:id="273564854">
          <w:marLeft w:val="0"/>
          <w:marRight w:val="0"/>
          <w:marTop w:val="0"/>
          <w:marBottom w:val="0"/>
          <w:divBdr>
            <w:top w:val="none" w:sz="0" w:space="0" w:color="auto"/>
            <w:left w:val="none" w:sz="0" w:space="0" w:color="auto"/>
            <w:bottom w:val="none" w:sz="0" w:space="0" w:color="auto"/>
            <w:right w:val="none" w:sz="0" w:space="0" w:color="auto"/>
          </w:divBdr>
        </w:div>
        <w:div w:id="682437123">
          <w:marLeft w:val="0"/>
          <w:marRight w:val="0"/>
          <w:marTop w:val="0"/>
          <w:marBottom w:val="0"/>
          <w:divBdr>
            <w:top w:val="none" w:sz="0" w:space="0" w:color="auto"/>
            <w:left w:val="none" w:sz="0" w:space="0" w:color="auto"/>
            <w:bottom w:val="none" w:sz="0" w:space="0" w:color="auto"/>
            <w:right w:val="none" w:sz="0" w:space="0" w:color="auto"/>
          </w:divBdr>
        </w:div>
        <w:div w:id="1146583511">
          <w:marLeft w:val="0"/>
          <w:marRight w:val="0"/>
          <w:marTop w:val="0"/>
          <w:marBottom w:val="0"/>
          <w:divBdr>
            <w:top w:val="none" w:sz="0" w:space="0" w:color="auto"/>
            <w:left w:val="none" w:sz="0" w:space="0" w:color="auto"/>
            <w:bottom w:val="none" w:sz="0" w:space="0" w:color="auto"/>
            <w:right w:val="none" w:sz="0" w:space="0" w:color="auto"/>
          </w:divBdr>
        </w:div>
        <w:div w:id="1195579788">
          <w:marLeft w:val="0"/>
          <w:marRight w:val="0"/>
          <w:marTop w:val="0"/>
          <w:marBottom w:val="0"/>
          <w:divBdr>
            <w:top w:val="none" w:sz="0" w:space="0" w:color="auto"/>
            <w:left w:val="none" w:sz="0" w:space="0" w:color="auto"/>
            <w:bottom w:val="none" w:sz="0" w:space="0" w:color="auto"/>
            <w:right w:val="none" w:sz="0" w:space="0" w:color="auto"/>
          </w:divBdr>
        </w:div>
        <w:div w:id="326792145">
          <w:marLeft w:val="0"/>
          <w:marRight w:val="0"/>
          <w:marTop w:val="0"/>
          <w:marBottom w:val="0"/>
          <w:divBdr>
            <w:top w:val="none" w:sz="0" w:space="0" w:color="auto"/>
            <w:left w:val="none" w:sz="0" w:space="0" w:color="auto"/>
            <w:bottom w:val="none" w:sz="0" w:space="0" w:color="auto"/>
            <w:right w:val="none" w:sz="0" w:space="0" w:color="auto"/>
          </w:divBdr>
        </w:div>
        <w:div w:id="948660234">
          <w:marLeft w:val="0"/>
          <w:marRight w:val="0"/>
          <w:marTop w:val="0"/>
          <w:marBottom w:val="0"/>
          <w:divBdr>
            <w:top w:val="none" w:sz="0" w:space="0" w:color="auto"/>
            <w:left w:val="none" w:sz="0" w:space="0" w:color="auto"/>
            <w:bottom w:val="none" w:sz="0" w:space="0" w:color="auto"/>
            <w:right w:val="none" w:sz="0" w:space="0" w:color="auto"/>
          </w:divBdr>
        </w:div>
        <w:div w:id="1872762436">
          <w:marLeft w:val="765"/>
          <w:marRight w:val="0"/>
          <w:marTop w:val="0"/>
          <w:marBottom w:val="0"/>
          <w:divBdr>
            <w:top w:val="none" w:sz="0" w:space="0" w:color="auto"/>
            <w:left w:val="none" w:sz="0" w:space="0" w:color="auto"/>
            <w:bottom w:val="none" w:sz="0" w:space="0" w:color="auto"/>
            <w:right w:val="none" w:sz="0" w:space="0" w:color="auto"/>
          </w:divBdr>
        </w:div>
        <w:div w:id="1199859055">
          <w:marLeft w:val="765"/>
          <w:marRight w:val="0"/>
          <w:marTop w:val="0"/>
          <w:marBottom w:val="0"/>
          <w:divBdr>
            <w:top w:val="none" w:sz="0" w:space="0" w:color="auto"/>
            <w:left w:val="none" w:sz="0" w:space="0" w:color="auto"/>
            <w:bottom w:val="none" w:sz="0" w:space="0" w:color="auto"/>
            <w:right w:val="none" w:sz="0" w:space="0" w:color="auto"/>
          </w:divBdr>
        </w:div>
        <w:div w:id="2086216497">
          <w:marLeft w:val="0"/>
          <w:marRight w:val="0"/>
          <w:marTop w:val="0"/>
          <w:marBottom w:val="0"/>
          <w:divBdr>
            <w:top w:val="none" w:sz="0" w:space="0" w:color="auto"/>
            <w:left w:val="none" w:sz="0" w:space="0" w:color="auto"/>
            <w:bottom w:val="none" w:sz="0" w:space="0" w:color="auto"/>
            <w:right w:val="none" w:sz="0" w:space="0" w:color="auto"/>
          </w:divBdr>
        </w:div>
        <w:div w:id="719213294">
          <w:marLeft w:val="0"/>
          <w:marRight w:val="0"/>
          <w:marTop w:val="0"/>
          <w:marBottom w:val="0"/>
          <w:divBdr>
            <w:top w:val="none" w:sz="0" w:space="0" w:color="auto"/>
            <w:left w:val="none" w:sz="0" w:space="0" w:color="auto"/>
            <w:bottom w:val="none" w:sz="0" w:space="0" w:color="auto"/>
            <w:right w:val="none" w:sz="0" w:space="0" w:color="auto"/>
          </w:divBdr>
        </w:div>
        <w:div w:id="510681255">
          <w:marLeft w:val="720"/>
          <w:marRight w:val="0"/>
          <w:marTop w:val="0"/>
          <w:marBottom w:val="0"/>
          <w:divBdr>
            <w:top w:val="none" w:sz="0" w:space="0" w:color="auto"/>
            <w:left w:val="none" w:sz="0" w:space="0" w:color="auto"/>
            <w:bottom w:val="none" w:sz="0" w:space="0" w:color="auto"/>
            <w:right w:val="none" w:sz="0" w:space="0" w:color="auto"/>
          </w:divBdr>
        </w:div>
        <w:div w:id="63459174">
          <w:marLeft w:val="0"/>
          <w:marRight w:val="0"/>
          <w:marTop w:val="0"/>
          <w:marBottom w:val="0"/>
          <w:divBdr>
            <w:top w:val="none" w:sz="0" w:space="0" w:color="auto"/>
            <w:left w:val="none" w:sz="0" w:space="0" w:color="auto"/>
            <w:bottom w:val="none" w:sz="0" w:space="0" w:color="auto"/>
            <w:right w:val="none" w:sz="0" w:space="0" w:color="auto"/>
          </w:divBdr>
        </w:div>
        <w:div w:id="314646753">
          <w:marLeft w:val="0"/>
          <w:marRight w:val="0"/>
          <w:marTop w:val="0"/>
          <w:marBottom w:val="0"/>
          <w:divBdr>
            <w:top w:val="none" w:sz="0" w:space="0" w:color="auto"/>
            <w:left w:val="none" w:sz="0" w:space="0" w:color="auto"/>
            <w:bottom w:val="none" w:sz="0" w:space="0" w:color="auto"/>
            <w:right w:val="none" w:sz="0" w:space="0" w:color="auto"/>
          </w:divBdr>
        </w:div>
        <w:div w:id="1709987180">
          <w:marLeft w:val="0"/>
          <w:marRight w:val="0"/>
          <w:marTop w:val="0"/>
          <w:marBottom w:val="0"/>
          <w:divBdr>
            <w:top w:val="none" w:sz="0" w:space="0" w:color="auto"/>
            <w:left w:val="none" w:sz="0" w:space="0" w:color="auto"/>
            <w:bottom w:val="none" w:sz="0" w:space="0" w:color="auto"/>
            <w:right w:val="none" w:sz="0" w:space="0" w:color="auto"/>
          </w:divBdr>
        </w:div>
        <w:div w:id="615604999">
          <w:marLeft w:val="0"/>
          <w:marRight w:val="0"/>
          <w:marTop w:val="0"/>
          <w:marBottom w:val="0"/>
          <w:divBdr>
            <w:top w:val="none" w:sz="0" w:space="0" w:color="auto"/>
            <w:left w:val="none" w:sz="0" w:space="0" w:color="auto"/>
            <w:bottom w:val="none" w:sz="0" w:space="0" w:color="auto"/>
            <w:right w:val="none" w:sz="0" w:space="0" w:color="auto"/>
          </w:divBdr>
        </w:div>
        <w:div w:id="859467711">
          <w:marLeft w:val="0"/>
          <w:marRight w:val="0"/>
          <w:marTop w:val="0"/>
          <w:marBottom w:val="0"/>
          <w:divBdr>
            <w:top w:val="none" w:sz="0" w:space="0" w:color="auto"/>
            <w:left w:val="none" w:sz="0" w:space="0" w:color="auto"/>
            <w:bottom w:val="none" w:sz="0" w:space="0" w:color="auto"/>
            <w:right w:val="none" w:sz="0" w:space="0" w:color="auto"/>
          </w:divBdr>
        </w:div>
        <w:div w:id="783812172">
          <w:marLeft w:val="0"/>
          <w:marRight w:val="0"/>
          <w:marTop w:val="0"/>
          <w:marBottom w:val="0"/>
          <w:divBdr>
            <w:top w:val="none" w:sz="0" w:space="0" w:color="auto"/>
            <w:left w:val="none" w:sz="0" w:space="0" w:color="auto"/>
            <w:bottom w:val="none" w:sz="0" w:space="0" w:color="auto"/>
            <w:right w:val="none" w:sz="0" w:space="0" w:color="auto"/>
          </w:divBdr>
        </w:div>
        <w:div w:id="482357938">
          <w:marLeft w:val="1440"/>
          <w:marRight w:val="0"/>
          <w:marTop w:val="0"/>
          <w:marBottom w:val="0"/>
          <w:divBdr>
            <w:top w:val="none" w:sz="0" w:space="0" w:color="auto"/>
            <w:left w:val="none" w:sz="0" w:space="0" w:color="auto"/>
            <w:bottom w:val="none" w:sz="0" w:space="0" w:color="auto"/>
            <w:right w:val="none" w:sz="0" w:space="0" w:color="auto"/>
          </w:divBdr>
        </w:div>
        <w:div w:id="1915427730">
          <w:marLeft w:val="1440"/>
          <w:marRight w:val="0"/>
          <w:marTop w:val="0"/>
          <w:marBottom w:val="0"/>
          <w:divBdr>
            <w:top w:val="none" w:sz="0" w:space="0" w:color="auto"/>
            <w:left w:val="none" w:sz="0" w:space="0" w:color="auto"/>
            <w:bottom w:val="none" w:sz="0" w:space="0" w:color="auto"/>
            <w:right w:val="none" w:sz="0" w:space="0" w:color="auto"/>
          </w:divBdr>
        </w:div>
        <w:div w:id="1010327486">
          <w:marLeft w:val="1440"/>
          <w:marRight w:val="0"/>
          <w:marTop w:val="0"/>
          <w:marBottom w:val="0"/>
          <w:divBdr>
            <w:top w:val="none" w:sz="0" w:space="0" w:color="auto"/>
            <w:left w:val="none" w:sz="0" w:space="0" w:color="auto"/>
            <w:bottom w:val="none" w:sz="0" w:space="0" w:color="auto"/>
            <w:right w:val="none" w:sz="0" w:space="0" w:color="auto"/>
          </w:divBdr>
        </w:div>
      </w:divsChild>
    </w:div>
    <w:div w:id="453334442">
      <w:bodyDiv w:val="1"/>
      <w:marLeft w:val="0"/>
      <w:marRight w:val="0"/>
      <w:marTop w:val="0"/>
      <w:marBottom w:val="0"/>
      <w:divBdr>
        <w:top w:val="none" w:sz="0" w:space="0" w:color="auto"/>
        <w:left w:val="none" w:sz="0" w:space="0" w:color="auto"/>
        <w:bottom w:val="none" w:sz="0" w:space="0" w:color="auto"/>
        <w:right w:val="none" w:sz="0" w:space="0" w:color="auto"/>
      </w:divBdr>
      <w:divsChild>
        <w:div w:id="1178740049">
          <w:marLeft w:val="0"/>
          <w:marRight w:val="0"/>
          <w:marTop w:val="0"/>
          <w:marBottom w:val="0"/>
          <w:divBdr>
            <w:top w:val="none" w:sz="0" w:space="0" w:color="auto"/>
            <w:left w:val="none" w:sz="0" w:space="0" w:color="auto"/>
            <w:bottom w:val="none" w:sz="0" w:space="0" w:color="auto"/>
            <w:right w:val="none" w:sz="0" w:space="0" w:color="auto"/>
          </w:divBdr>
        </w:div>
        <w:div w:id="367074292">
          <w:marLeft w:val="0"/>
          <w:marRight w:val="0"/>
          <w:marTop w:val="0"/>
          <w:marBottom w:val="0"/>
          <w:divBdr>
            <w:top w:val="none" w:sz="0" w:space="0" w:color="auto"/>
            <w:left w:val="none" w:sz="0" w:space="0" w:color="auto"/>
            <w:bottom w:val="none" w:sz="0" w:space="0" w:color="auto"/>
            <w:right w:val="none" w:sz="0" w:space="0" w:color="auto"/>
          </w:divBdr>
        </w:div>
        <w:div w:id="1577781090">
          <w:marLeft w:val="0"/>
          <w:marRight w:val="0"/>
          <w:marTop w:val="0"/>
          <w:marBottom w:val="0"/>
          <w:divBdr>
            <w:top w:val="none" w:sz="0" w:space="0" w:color="auto"/>
            <w:left w:val="none" w:sz="0" w:space="0" w:color="auto"/>
            <w:bottom w:val="none" w:sz="0" w:space="0" w:color="auto"/>
            <w:right w:val="none" w:sz="0" w:space="0" w:color="auto"/>
          </w:divBdr>
        </w:div>
        <w:div w:id="1023633736">
          <w:marLeft w:val="0"/>
          <w:marRight w:val="0"/>
          <w:marTop w:val="0"/>
          <w:marBottom w:val="0"/>
          <w:divBdr>
            <w:top w:val="none" w:sz="0" w:space="0" w:color="auto"/>
            <w:left w:val="none" w:sz="0" w:space="0" w:color="auto"/>
            <w:bottom w:val="none" w:sz="0" w:space="0" w:color="auto"/>
            <w:right w:val="none" w:sz="0" w:space="0" w:color="auto"/>
          </w:divBdr>
        </w:div>
        <w:div w:id="451443695">
          <w:marLeft w:val="0"/>
          <w:marRight w:val="0"/>
          <w:marTop w:val="0"/>
          <w:marBottom w:val="0"/>
          <w:divBdr>
            <w:top w:val="none" w:sz="0" w:space="0" w:color="auto"/>
            <w:left w:val="none" w:sz="0" w:space="0" w:color="auto"/>
            <w:bottom w:val="none" w:sz="0" w:space="0" w:color="auto"/>
            <w:right w:val="none" w:sz="0" w:space="0" w:color="auto"/>
          </w:divBdr>
        </w:div>
        <w:div w:id="654341508">
          <w:marLeft w:val="0"/>
          <w:marRight w:val="0"/>
          <w:marTop w:val="0"/>
          <w:marBottom w:val="0"/>
          <w:divBdr>
            <w:top w:val="none" w:sz="0" w:space="0" w:color="auto"/>
            <w:left w:val="none" w:sz="0" w:space="0" w:color="auto"/>
            <w:bottom w:val="none" w:sz="0" w:space="0" w:color="auto"/>
            <w:right w:val="none" w:sz="0" w:space="0" w:color="auto"/>
          </w:divBdr>
        </w:div>
        <w:div w:id="1670138090">
          <w:marLeft w:val="0"/>
          <w:marRight w:val="0"/>
          <w:marTop w:val="0"/>
          <w:marBottom w:val="0"/>
          <w:divBdr>
            <w:top w:val="none" w:sz="0" w:space="0" w:color="auto"/>
            <w:left w:val="none" w:sz="0" w:space="0" w:color="auto"/>
            <w:bottom w:val="none" w:sz="0" w:space="0" w:color="auto"/>
            <w:right w:val="none" w:sz="0" w:space="0" w:color="auto"/>
          </w:divBdr>
        </w:div>
        <w:div w:id="1397163969">
          <w:marLeft w:val="0"/>
          <w:marRight w:val="0"/>
          <w:marTop w:val="0"/>
          <w:marBottom w:val="0"/>
          <w:divBdr>
            <w:top w:val="none" w:sz="0" w:space="0" w:color="auto"/>
            <w:left w:val="none" w:sz="0" w:space="0" w:color="auto"/>
            <w:bottom w:val="none" w:sz="0" w:space="0" w:color="auto"/>
            <w:right w:val="none" w:sz="0" w:space="0" w:color="auto"/>
          </w:divBdr>
        </w:div>
        <w:div w:id="1912427259">
          <w:marLeft w:val="0"/>
          <w:marRight w:val="0"/>
          <w:marTop w:val="0"/>
          <w:marBottom w:val="0"/>
          <w:divBdr>
            <w:top w:val="none" w:sz="0" w:space="0" w:color="auto"/>
            <w:left w:val="none" w:sz="0" w:space="0" w:color="auto"/>
            <w:bottom w:val="none" w:sz="0" w:space="0" w:color="auto"/>
            <w:right w:val="none" w:sz="0" w:space="0" w:color="auto"/>
          </w:divBdr>
        </w:div>
        <w:div w:id="253708799">
          <w:marLeft w:val="0"/>
          <w:marRight w:val="0"/>
          <w:marTop w:val="0"/>
          <w:marBottom w:val="0"/>
          <w:divBdr>
            <w:top w:val="none" w:sz="0" w:space="0" w:color="auto"/>
            <w:left w:val="none" w:sz="0" w:space="0" w:color="auto"/>
            <w:bottom w:val="none" w:sz="0" w:space="0" w:color="auto"/>
            <w:right w:val="none" w:sz="0" w:space="0" w:color="auto"/>
          </w:divBdr>
        </w:div>
        <w:div w:id="1315181563">
          <w:marLeft w:val="0"/>
          <w:marRight w:val="0"/>
          <w:marTop w:val="0"/>
          <w:marBottom w:val="0"/>
          <w:divBdr>
            <w:top w:val="none" w:sz="0" w:space="0" w:color="auto"/>
            <w:left w:val="none" w:sz="0" w:space="0" w:color="auto"/>
            <w:bottom w:val="none" w:sz="0" w:space="0" w:color="auto"/>
            <w:right w:val="none" w:sz="0" w:space="0" w:color="auto"/>
          </w:divBdr>
        </w:div>
      </w:divsChild>
    </w:div>
    <w:div w:id="464127817">
      <w:bodyDiv w:val="1"/>
      <w:marLeft w:val="0"/>
      <w:marRight w:val="0"/>
      <w:marTop w:val="0"/>
      <w:marBottom w:val="0"/>
      <w:divBdr>
        <w:top w:val="none" w:sz="0" w:space="0" w:color="auto"/>
        <w:left w:val="none" w:sz="0" w:space="0" w:color="auto"/>
        <w:bottom w:val="none" w:sz="0" w:space="0" w:color="auto"/>
        <w:right w:val="none" w:sz="0" w:space="0" w:color="auto"/>
      </w:divBdr>
    </w:div>
    <w:div w:id="745343432">
      <w:bodyDiv w:val="1"/>
      <w:marLeft w:val="0"/>
      <w:marRight w:val="0"/>
      <w:marTop w:val="0"/>
      <w:marBottom w:val="0"/>
      <w:divBdr>
        <w:top w:val="none" w:sz="0" w:space="0" w:color="auto"/>
        <w:left w:val="none" w:sz="0" w:space="0" w:color="auto"/>
        <w:bottom w:val="none" w:sz="0" w:space="0" w:color="auto"/>
        <w:right w:val="none" w:sz="0" w:space="0" w:color="auto"/>
      </w:divBdr>
      <w:divsChild>
        <w:div w:id="1285426625">
          <w:marLeft w:val="0"/>
          <w:marRight w:val="0"/>
          <w:marTop w:val="0"/>
          <w:marBottom w:val="0"/>
          <w:divBdr>
            <w:top w:val="none" w:sz="0" w:space="0" w:color="auto"/>
            <w:left w:val="none" w:sz="0" w:space="0" w:color="auto"/>
            <w:bottom w:val="none" w:sz="0" w:space="0" w:color="auto"/>
            <w:right w:val="none" w:sz="0" w:space="0" w:color="auto"/>
          </w:divBdr>
        </w:div>
        <w:div w:id="506138166">
          <w:marLeft w:val="0"/>
          <w:marRight w:val="0"/>
          <w:marTop w:val="0"/>
          <w:marBottom w:val="0"/>
          <w:divBdr>
            <w:top w:val="none" w:sz="0" w:space="0" w:color="auto"/>
            <w:left w:val="none" w:sz="0" w:space="0" w:color="auto"/>
            <w:bottom w:val="none" w:sz="0" w:space="0" w:color="auto"/>
            <w:right w:val="none" w:sz="0" w:space="0" w:color="auto"/>
          </w:divBdr>
        </w:div>
        <w:div w:id="952787226">
          <w:marLeft w:val="0"/>
          <w:marRight w:val="0"/>
          <w:marTop w:val="0"/>
          <w:marBottom w:val="0"/>
          <w:divBdr>
            <w:top w:val="none" w:sz="0" w:space="0" w:color="auto"/>
            <w:left w:val="none" w:sz="0" w:space="0" w:color="auto"/>
            <w:bottom w:val="none" w:sz="0" w:space="0" w:color="auto"/>
            <w:right w:val="none" w:sz="0" w:space="0" w:color="auto"/>
          </w:divBdr>
        </w:div>
        <w:div w:id="1404373293">
          <w:marLeft w:val="0"/>
          <w:marRight w:val="0"/>
          <w:marTop w:val="0"/>
          <w:marBottom w:val="0"/>
          <w:divBdr>
            <w:top w:val="none" w:sz="0" w:space="0" w:color="auto"/>
            <w:left w:val="none" w:sz="0" w:space="0" w:color="auto"/>
            <w:bottom w:val="none" w:sz="0" w:space="0" w:color="auto"/>
            <w:right w:val="none" w:sz="0" w:space="0" w:color="auto"/>
          </w:divBdr>
        </w:div>
        <w:div w:id="2147233445">
          <w:marLeft w:val="0"/>
          <w:marRight w:val="0"/>
          <w:marTop w:val="0"/>
          <w:marBottom w:val="0"/>
          <w:divBdr>
            <w:top w:val="none" w:sz="0" w:space="0" w:color="auto"/>
            <w:left w:val="none" w:sz="0" w:space="0" w:color="auto"/>
            <w:bottom w:val="none" w:sz="0" w:space="0" w:color="auto"/>
            <w:right w:val="none" w:sz="0" w:space="0" w:color="auto"/>
          </w:divBdr>
        </w:div>
        <w:div w:id="384305514">
          <w:marLeft w:val="0"/>
          <w:marRight w:val="0"/>
          <w:marTop w:val="0"/>
          <w:marBottom w:val="0"/>
          <w:divBdr>
            <w:top w:val="none" w:sz="0" w:space="0" w:color="auto"/>
            <w:left w:val="none" w:sz="0" w:space="0" w:color="auto"/>
            <w:bottom w:val="none" w:sz="0" w:space="0" w:color="auto"/>
            <w:right w:val="none" w:sz="0" w:space="0" w:color="auto"/>
          </w:divBdr>
        </w:div>
        <w:div w:id="533541162">
          <w:marLeft w:val="0"/>
          <w:marRight w:val="0"/>
          <w:marTop w:val="0"/>
          <w:marBottom w:val="0"/>
          <w:divBdr>
            <w:top w:val="none" w:sz="0" w:space="0" w:color="auto"/>
            <w:left w:val="none" w:sz="0" w:space="0" w:color="auto"/>
            <w:bottom w:val="none" w:sz="0" w:space="0" w:color="auto"/>
            <w:right w:val="none" w:sz="0" w:space="0" w:color="auto"/>
          </w:divBdr>
        </w:div>
      </w:divsChild>
    </w:div>
    <w:div w:id="902644289">
      <w:bodyDiv w:val="1"/>
      <w:marLeft w:val="0"/>
      <w:marRight w:val="0"/>
      <w:marTop w:val="0"/>
      <w:marBottom w:val="0"/>
      <w:divBdr>
        <w:top w:val="none" w:sz="0" w:space="0" w:color="auto"/>
        <w:left w:val="none" w:sz="0" w:space="0" w:color="auto"/>
        <w:bottom w:val="none" w:sz="0" w:space="0" w:color="auto"/>
        <w:right w:val="none" w:sz="0" w:space="0" w:color="auto"/>
      </w:divBdr>
    </w:div>
    <w:div w:id="1051198369">
      <w:bodyDiv w:val="1"/>
      <w:marLeft w:val="0"/>
      <w:marRight w:val="0"/>
      <w:marTop w:val="0"/>
      <w:marBottom w:val="0"/>
      <w:divBdr>
        <w:top w:val="none" w:sz="0" w:space="0" w:color="auto"/>
        <w:left w:val="none" w:sz="0" w:space="0" w:color="auto"/>
        <w:bottom w:val="none" w:sz="0" w:space="0" w:color="auto"/>
        <w:right w:val="none" w:sz="0" w:space="0" w:color="auto"/>
      </w:divBdr>
      <w:divsChild>
        <w:div w:id="107089445">
          <w:marLeft w:val="2160"/>
          <w:marRight w:val="0"/>
          <w:marTop w:val="200"/>
          <w:marBottom w:val="0"/>
          <w:divBdr>
            <w:top w:val="none" w:sz="0" w:space="0" w:color="auto"/>
            <w:left w:val="none" w:sz="0" w:space="0" w:color="auto"/>
            <w:bottom w:val="none" w:sz="0" w:space="0" w:color="auto"/>
            <w:right w:val="none" w:sz="0" w:space="0" w:color="auto"/>
          </w:divBdr>
        </w:div>
        <w:div w:id="650448718">
          <w:marLeft w:val="2160"/>
          <w:marRight w:val="0"/>
          <w:marTop w:val="200"/>
          <w:marBottom w:val="0"/>
          <w:divBdr>
            <w:top w:val="none" w:sz="0" w:space="0" w:color="auto"/>
            <w:left w:val="none" w:sz="0" w:space="0" w:color="auto"/>
            <w:bottom w:val="none" w:sz="0" w:space="0" w:color="auto"/>
            <w:right w:val="none" w:sz="0" w:space="0" w:color="auto"/>
          </w:divBdr>
        </w:div>
        <w:div w:id="1009218518">
          <w:marLeft w:val="3600"/>
          <w:marRight w:val="0"/>
          <w:marTop w:val="200"/>
          <w:marBottom w:val="0"/>
          <w:divBdr>
            <w:top w:val="none" w:sz="0" w:space="0" w:color="auto"/>
            <w:left w:val="none" w:sz="0" w:space="0" w:color="auto"/>
            <w:bottom w:val="none" w:sz="0" w:space="0" w:color="auto"/>
            <w:right w:val="none" w:sz="0" w:space="0" w:color="auto"/>
          </w:divBdr>
        </w:div>
        <w:div w:id="1165827859">
          <w:marLeft w:val="2160"/>
          <w:marRight w:val="0"/>
          <w:marTop w:val="200"/>
          <w:marBottom w:val="0"/>
          <w:divBdr>
            <w:top w:val="none" w:sz="0" w:space="0" w:color="auto"/>
            <w:left w:val="none" w:sz="0" w:space="0" w:color="auto"/>
            <w:bottom w:val="none" w:sz="0" w:space="0" w:color="auto"/>
            <w:right w:val="none" w:sz="0" w:space="0" w:color="auto"/>
          </w:divBdr>
        </w:div>
        <w:div w:id="1382362043">
          <w:marLeft w:val="3600"/>
          <w:marRight w:val="0"/>
          <w:marTop w:val="200"/>
          <w:marBottom w:val="0"/>
          <w:divBdr>
            <w:top w:val="none" w:sz="0" w:space="0" w:color="auto"/>
            <w:left w:val="none" w:sz="0" w:space="0" w:color="auto"/>
            <w:bottom w:val="none" w:sz="0" w:space="0" w:color="auto"/>
            <w:right w:val="none" w:sz="0" w:space="0" w:color="auto"/>
          </w:divBdr>
        </w:div>
      </w:divsChild>
    </w:div>
    <w:div w:id="1073352013">
      <w:bodyDiv w:val="1"/>
      <w:marLeft w:val="0"/>
      <w:marRight w:val="0"/>
      <w:marTop w:val="0"/>
      <w:marBottom w:val="0"/>
      <w:divBdr>
        <w:top w:val="none" w:sz="0" w:space="0" w:color="auto"/>
        <w:left w:val="none" w:sz="0" w:space="0" w:color="auto"/>
        <w:bottom w:val="none" w:sz="0" w:space="0" w:color="auto"/>
        <w:right w:val="none" w:sz="0" w:space="0" w:color="auto"/>
      </w:divBdr>
    </w:div>
    <w:div w:id="1148478527">
      <w:bodyDiv w:val="1"/>
      <w:marLeft w:val="0"/>
      <w:marRight w:val="0"/>
      <w:marTop w:val="0"/>
      <w:marBottom w:val="0"/>
      <w:divBdr>
        <w:top w:val="none" w:sz="0" w:space="0" w:color="auto"/>
        <w:left w:val="none" w:sz="0" w:space="0" w:color="auto"/>
        <w:bottom w:val="none" w:sz="0" w:space="0" w:color="auto"/>
        <w:right w:val="none" w:sz="0" w:space="0" w:color="auto"/>
      </w:divBdr>
    </w:div>
    <w:div w:id="1235819962">
      <w:bodyDiv w:val="1"/>
      <w:marLeft w:val="0"/>
      <w:marRight w:val="0"/>
      <w:marTop w:val="0"/>
      <w:marBottom w:val="0"/>
      <w:divBdr>
        <w:top w:val="none" w:sz="0" w:space="0" w:color="auto"/>
        <w:left w:val="none" w:sz="0" w:space="0" w:color="auto"/>
        <w:bottom w:val="none" w:sz="0" w:space="0" w:color="auto"/>
        <w:right w:val="none" w:sz="0" w:space="0" w:color="auto"/>
      </w:divBdr>
      <w:divsChild>
        <w:div w:id="151456138">
          <w:marLeft w:val="0"/>
          <w:marRight w:val="0"/>
          <w:marTop w:val="0"/>
          <w:marBottom w:val="0"/>
          <w:divBdr>
            <w:top w:val="none" w:sz="0" w:space="0" w:color="auto"/>
            <w:left w:val="none" w:sz="0" w:space="0" w:color="auto"/>
            <w:bottom w:val="none" w:sz="0" w:space="0" w:color="auto"/>
            <w:right w:val="none" w:sz="0" w:space="0" w:color="auto"/>
          </w:divBdr>
        </w:div>
        <w:div w:id="660424316">
          <w:marLeft w:val="0"/>
          <w:marRight w:val="0"/>
          <w:marTop w:val="0"/>
          <w:marBottom w:val="0"/>
          <w:divBdr>
            <w:top w:val="none" w:sz="0" w:space="0" w:color="auto"/>
            <w:left w:val="none" w:sz="0" w:space="0" w:color="auto"/>
            <w:bottom w:val="none" w:sz="0" w:space="0" w:color="auto"/>
            <w:right w:val="none" w:sz="0" w:space="0" w:color="auto"/>
          </w:divBdr>
        </w:div>
        <w:div w:id="757871286">
          <w:marLeft w:val="0"/>
          <w:marRight w:val="0"/>
          <w:marTop w:val="0"/>
          <w:marBottom w:val="0"/>
          <w:divBdr>
            <w:top w:val="none" w:sz="0" w:space="0" w:color="auto"/>
            <w:left w:val="none" w:sz="0" w:space="0" w:color="auto"/>
            <w:bottom w:val="none" w:sz="0" w:space="0" w:color="auto"/>
            <w:right w:val="none" w:sz="0" w:space="0" w:color="auto"/>
          </w:divBdr>
        </w:div>
        <w:div w:id="894049424">
          <w:marLeft w:val="0"/>
          <w:marRight w:val="0"/>
          <w:marTop w:val="0"/>
          <w:marBottom w:val="0"/>
          <w:divBdr>
            <w:top w:val="none" w:sz="0" w:space="0" w:color="auto"/>
            <w:left w:val="none" w:sz="0" w:space="0" w:color="auto"/>
            <w:bottom w:val="none" w:sz="0" w:space="0" w:color="auto"/>
            <w:right w:val="none" w:sz="0" w:space="0" w:color="auto"/>
          </w:divBdr>
          <w:divsChild>
            <w:div w:id="1700279287">
              <w:marLeft w:val="0"/>
              <w:marRight w:val="0"/>
              <w:marTop w:val="30"/>
              <w:marBottom w:val="30"/>
              <w:divBdr>
                <w:top w:val="none" w:sz="0" w:space="0" w:color="auto"/>
                <w:left w:val="none" w:sz="0" w:space="0" w:color="auto"/>
                <w:bottom w:val="none" w:sz="0" w:space="0" w:color="auto"/>
                <w:right w:val="none" w:sz="0" w:space="0" w:color="auto"/>
              </w:divBdr>
              <w:divsChild>
                <w:div w:id="4213329">
                  <w:marLeft w:val="0"/>
                  <w:marRight w:val="0"/>
                  <w:marTop w:val="0"/>
                  <w:marBottom w:val="0"/>
                  <w:divBdr>
                    <w:top w:val="none" w:sz="0" w:space="0" w:color="auto"/>
                    <w:left w:val="none" w:sz="0" w:space="0" w:color="auto"/>
                    <w:bottom w:val="none" w:sz="0" w:space="0" w:color="auto"/>
                    <w:right w:val="none" w:sz="0" w:space="0" w:color="auto"/>
                  </w:divBdr>
                  <w:divsChild>
                    <w:div w:id="40130473">
                      <w:marLeft w:val="0"/>
                      <w:marRight w:val="0"/>
                      <w:marTop w:val="0"/>
                      <w:marBottom w:val="0"/>
                      <w:divBdr>
                        <w:top w:val="none" w:sz="0" w:space="0" w:color="auto"/>
                        <w:left w:val="none" w:sz="0" w:space="0" w:color="auto"/>
                        <w:bottom w:val="none" w:sz="0" w:space="0" w:color="auto"/>
                        <w:right w:val="none" w:sz="0" w:space="0" w:color="auto"/>
                      </w:divBdr>
                    </w:div>
                  </w:divsChild>
                </w:div>
                <w:div w:id="27030830">
                  <w:marLeft w:val="0"/>
                  <w:marRight w:val="0"/>
                  <w:marTop w:val="0"/>
                  <w:marBottom w:val="0"/>
                  <w:divBdr>
                    <w:top w:val="none" w:sz="0" w:space="0" w:color="auto"/>
                    <w:left w:val="none" w:sz="0" w:space="0" w:color="auto"/>
                    <w:bottom w:val="none" w:sz="0" w:space="0" w:color="auto"/>
                    <w:right w:val="none" w:sz="0" w:space="0" w:color="auto"/>
                  </w:divBdr>
                  <w:divsChild>
                    <w:div w:id="490757804">
                      <w:marLeft w:val="0"/>
                      <w:marRight w:val="0"/>
                      <w:marTop w:val="0"/>
                      <w:marBottom w:val="0"/>
                      <w:divBdr>
                        <w:top w:val="none" w:sz="0" w:space="0" w:color="auto"/>
                        <w:left w:val="none" w:sz="0" w:space="0" w:color="auto"/>
                        <w:bottom w:val="none" w:sz="0" w:space="0" w:color="auto"/>
                        <w:right w:val="none" w:sz="0" w:space="0" w:color="auto"/>
                      </w:divBdr>
                    </w:div>
                  </w:divsChild>
                </w:div>
                <w:div w:id="27797495">
                  <w:marLeft w:val="0"/>
                  <w:marRight w:val="0"/>
                  <w:marTop w:val="0"/>
                  <w:marBottom w:val="0"/>
                  <w:divBdr>
                    <w:top w:val="none" w:sz="0" w:space="0" w:color="auto"/>
                    <w:left w:val="none" w:sz="0" w:space="0" w:color="auto"/>
                    <w:bottom w:val="none" w:sz="0" w:space="0" w:color="auto"/>
                    <w:right w:val="none" w:sz="0" w:space="0" w:color="auto"/>
                  </w:divBdr>
                  <w:divsChild>
                    <w:div w:id="214776743">
                      <w:marLeft w:val="0"/>
                      <w:marRight w:val="0"/>
                      <w:marTop w:val="0"/>
                      <w:marBottom w:val="0"/>
                      <w:divBdr>
                        <w:top w:val="none" w:sz="0" w:space="0" w:color="auto"/>
                        <w:left w:val="none" w:sz="0" w:space="0" w:color="auto"/>
                        <w:bottom w:val="none" w:sz="0" w:space="0" w:color="auto"/>
                        <w:right w:val="none" w:sz="0" w:space="0" w:color="auto"/>
                      </w:divBdr>
                    </w:div>
                  </w:divsChild>
                </w:div>
                <w:div w:id="40446382">
                  <w:marLeft w:val="0"/>
                  <w:marRight w:val="0"/>
                  <w:marTop w:val="0"/>
                  <w:marBottom w:val="0"/>
                  <w:divBdr>
                    <w:top w:val="none" w:sz="0" w:space="0" w:color="auto"/>
                    <w:left w:val="none" w:sz="0" w:space="0" w:color="auto"/>
                    <w:bottom w:val="none" w:sz="0" w:space="0" w:color="auto"/>
                    <w:right w:val="none" w:sz="0" w:space="0" w:color="auto"/>
                  </w:divBdr>
                  <w:divsChild>
                    <w:div w:id="25451179">
                      <w:marLeft w:val="0"/>
                      <w:marRight w:val="0"/>
                      <w:marTop w:val="0"/>
                      <w:marBottom w:val="0"/>
                      <w:divBdr>
                        <w:top w:val="none" w:sz="0" w:space="0" w:color="auto"/>
                        <w:left w:val="none" w:sz="0" w:space="0" w:color="auto"/>
                        <w:bottom w:val="none" w:sz="0" w:space="0" w:color="auto"/>
                        <w:right w:val="none" w:sz="0" w:space="0" w:color="auto"/>
                      </w:divBdr>
                    </w:div>
                  </w:divsChild>
                </w:div>
                <w:div w:id="68037951">
                  <w:marLeft w:val="0"/>
                  <w:marRight w:val="0"/>
                  <w:marTop w:val="0"/>
                  <w:marBottom w:val="0"/>
                  <w:divBdr>
                    <w:top w:val="none" w:sz="0" w:space="0" w:color="auto"/>
                    <w:left w:val="none" w:sz="0" w:space="0" w:color="auto"/>
                    <w:bottom w:val="none" w:sz="0" w:space="0" w:color="auto"/>
                    <w:right w:val="none" w:sz="0" w:space="0" w:color="auto"/>
                  </w:divBdr>
                  <w:divsChild>
                    <w:div w:id="365911370">
                      <w:marLeft w:val="0"/>
                      <w:marRight w:val="0"/>
                      <w:marTop w:val="0"/>
                      <w:marBottom w:val="0"/>
                      <w:divBdr>
                        <w:top w:val="none" w:sz="0" w:space="0" w:color="auto"/>
                        <w:left w:val="none" w:sz="0" w:space="0" w:color="auto"/>
                        <w:bottom w:val="none" w:sz="0" w:space="0" w:color="auto"/>
                        <w:right w:val="none" w:sz="0" w:space="0" w:color="auto"/>
                      </w:divBdr>
                    </w:div>
                  </w:divsChild>
                </w:div>
                <w:div w:id="77138486">
                  <w:marLeft w:val="0"/>
                  <w:marRight w:val="0"/>
                  <w:marTop w:val="0"/>
                  <w:marBottom w:val="0"/>
                  <w:divBdr>
                    <w:top w:val="none" w:sz="0" w:space="0" w:color="auto"/>
                    <w:left w:val="none" w:sz="0" w:space="0" w:color="auto"/>
                    <w:bottom w:val="none" w:sz="0" w:space="0" w:color="auto"/>
                    <w:right w:val="none" w:sz="0" w:space="0" w:color="auto"/>
                  </w:divBdr>
                  <w:divsChild>
                    <w:div w:id="868372425">
                      <w:marLeft w:val="0"/>
                      <w:marRight w:val="0"/>
                      <w:marTop w:val="0"/>
                      <w:marBottom w:val="0"/>
                      <w:divBdr>
                        <w:top w:val="none" w:sz="0" w:space="0" w:color="auto"/>
                        <w:left w:val="none" w:sz="0" w:space="0" w:color="auto"/>
                        <w:bottom w:val="none" w:sz="0" w:space="0" w:color="auto"/>
                        <w:right w:val="none" w:sz="0" w:space="0" w:color="auto"/>
                      </w:divBdr>
                    </w:div>
                  </w:divsChild>
                </w:div>
                <w:div w:id="89738446">
                  <w:marLeft w:val="0"/>
                  <w:marRight w:val="0"/>
                  <w:marTop w:val="0"/>
                  <w:marBottom w:val="0"/>
                  <w:divBdr>
                    <w:top w:val="none" w:sz="0" w:space="0" w:color="auto"/>
                    <w:left w:val="none" w:sz="0" w:space="0" w:color="auto"/>
                    <w:bottom w:val="none" w:sz="0" w:space="0" w:color="auto"/>
                    <w:right w:val="none" w:sz="0" w:space="0" w:color="auto"/>
                  </w:divBdr>
                  <w:divsChild>
                    <w:div w:id="1329166811">
                      <w:marLeft w:val="0"/>
                      <w:marRight w:val="0"/>
                      <w:marTop w:val="0"/>
                      <w:marBottom w:val="0"/>
                      <w:divBdr>
                        <w:top w:val="none" w:sz="0" w:space="0" w:color="auto"/>
                        <w:left w:val="none" w:sz="0" w:space="0" w:color="auto"/>
                        <w:bottom w:val="none" w:sz="0" w:space="0" w:color="auto"/>
                        <w:right w:val="none" w:sz="0" w:space="0" w:color="auto"/>
                      </w:divBdr>
                    </w:div>
                  </w:divsChild>
                </w:div>
                <w:div w:id="163861994">
                  <w:marLeft w:val="0"/>
                  <w:marRight w:val="0"/>
                  <w:marTop w:val="0"/>
                  <w:marBottom w:val="0"/>
                  <w:divBdr>
                    <w:top w:val="none" w:sz="0" w:space="0" w:color="auto"/>
                    <w:left w:val="none" w:sz="0" w:space="0" w:color="auto"/>
                    <w:bottom w:val="none" w:sz="0" w:space="0" w:color="auto"/>
                    <w:right w:val="none" w:sz="0" w:space="0" w:color="auto"/>
                  </w:divBdr>
                  <w:divsChild>
                    <w:div w:id="153494084">
                      <w:marLeft w:val="0"/>
                      <w:marRight w:val="0"/>
                      <w:marTop w:val="0"/>
                      <w:marBottom w:val="0"/>
                      <w:divBdr>
                        <w:top w:val="none" w:sz="0" w:space="0" w:color="auto"/>
                        <w:left w:val="none" w:sz="0" w:space="0" w:color="auto"/>
                        <w:bottom w:val="none" w:sz="0" w:space="0" w:color="auto"/>
                        <w:right w:val="none" w:sz="0" w:space="0" w:color="auto"/>
                      </w:divBdr>
                    </w:div>
                  </w:divsChild>
                </w:div>
                <w:div w:id="164441516">
                  <w:marLeft w:val="0"/>
                  <w:marRight w:val="0"/>
                  <w:marTop w:val="0"/>
                  <w:marBottom w:val="0"/>
                  <w:divBdr>
                    <w:top w:val="none" w:sz="0" w:space="0" w:color="auto"/>
                    <w:left w:val="none" w:sz="0" w:space="0" w:color="auto"/>
                    <w:bottom w:val="none" w:sz="0" w:space="0" w:color="auto"/>
                    <w:right w:val="none" w:sz="0" w:space="0" w:color="auto"/>
                  </w:divBdr>
                  <w:divsChild>
                    <w:div w:id="146896267">
                      <w:marLeft w:val="0"/>
                      <w:marRight w:val="0"/>
                      <w:marTop w:val="0"/>
                      <w:marBottom w:val="0"/>
                      <w:divBdr>
                        <w:top w:val="none" w:sz="0" w:space="0" w:color="auto"/>
                        <w:left w:val="none" w:sz="0" w:space="0" w:color="auto"/>
                        <w:bottom w:val="none" w:sz="0" w:space="0" w:color="auto"/>
                        <w:right w:val="none" w:sz="0" w:space="0" w:color="auto"/>
                      </w:divBdr>
                    </w:div>
                  </w:divsChild>
                </w:div>
                <w:div w:id="199706948">
                  <w:marLeft w:val="0"/>
                  <w:marRight w:val="0"/>
                  <w:marTop w:val="0"/>
                  <w:marBottom w:val="0"/>
                  <w:divBdr>
                    <w:top w:val="none" w:sz="0" w:space="0" w:color="auto"/>
                    <w:left w:val="none" w:sz="0" w:space="0" w:color="auto"/>
                    <w:bottom w:val="none" w:sz="0" w:space="0" w:color="auto"/>
                    <w:right w:val="none" w:sz="0" w:space="0" w:color="auto"/>
                  </w:divBdr>
                  <w:divsChild>
                    <w:div w:id="143400826">
                      <w:marLeft w:val="0"/>
                      <w:marRight w:val="0"/>
                      <w:marTop w:val="0"/>
                      <w:marBottom w:val="0"/>
                      <w:divBdr>
                        <w:top w:val="none" w:sz="0" w:space="0" w:color="auto"/>
                        <w:left w:val="none" w:sz="0" w:space="0" w:color="auto"/>
                        <w:bottom w:val="none" w:sz="0" w:space="0" w:color="auto"/>
                        <w:right w:val="none" w:sz="0" w:space="0" w:color="auto"/>
                      </w:divBdr>
                    </w:div>
                  </w:divsChild>
                </w:div>
                <w:div w:id="203642202">
                  <w:marLeft w:val="0"/>
                  <w:marRight w:val="0"/>
                  <w:marTop w:val="0"/>
                  <w:marBottom w:val="0"/>
                  <w:divBdr>
                    <w:top w:val="none" w:sz="0" w:space="0" w:color="auto"/>
                    <w:left w:val="none" w:sz="0" w:space="0" w:color="auto"/>
                    <w:bottom w:val="none" w:sz="0" w:space="0" w:color="auto"/>
                    <w:right w:val="none" w:sz="0" w:space="0" w:color="auto"/>
                  </w:divBdr>
                  <w:divsChild>
                    <w:div w:id="699403332">
                      <w:marLeft w:val="0"/>
                      <w:marRight w:val="0"/>
                      <w:marTop w:val="0"/>
                      <w:marBottom w:val="0"/>
                      <w:divBdr>
                        <w:top w:val="none" w:sz="0" w:space="0" w:color="auto"/>
                        <w:left w:val="none" w:sz="0" w:space="0" w:color="auto"/>
                        <w:bottom w:val="none" w:sz="0" w:space="0" w:color="auto"/>
                        <w:right w:val="none" w:sz="0" w:space="0" w:color="auto"/>
                      </w:divBdr>
                    </w:div>
                  </w:divsChild>
                </w:div>
                <w:div w:id="229511579">
                  <w:marLeft w:val="0"/>
                  <w:marRight w:val="0"/>
                  <w:marTop w:val="0"/>
                  <w:marBottom w:val="0"/>
                  <w:divBdr>
                    <w:top w:val="none" w:sz="0" w:space="0" w:color="auto"/>
                    <w:left w:val="none" w:sz="0" w:space="0" w:color="auto"/>
                    <w:bottom w:val="none" w:sz="0" w:space="0" w:color="auto"/>
                    <w:right w:val="none" w:sz="0" w:space="0" w:color="auto"/>
                  </w:divBdr>
                  <w:divsChild>
                    <w:div w:id="1991058625">
                      <w:marLeft w:val="0"/>
                      <w:marRight w:val="0"/>
                      <w:marTop w:val="0"/>
                      <w:marBottom w:val="0"/>
                      <w:divBdr>
                        <w:top w:val="none" w:sz="0" w:space="0" w:color="auto"/>
                        <w:left w:val="none" w:sz="0" w:space="0" w:color="auto"/>
                        <w:bottom w:val="none" w:sz="0" w:space="0" w:color="auto"/>
                        <w:right w:val="none" w:sz="0" w:space="0" w:color="auto"/>
                      </w:divBdr>
                    </w:div>
                  </w:divsChild>
                </w:div>
                <w:div w:id="303706297">
                  <w:marLeft w:val="0"/>
                  <w:marRight w:val="0"/>
                  <w:marTop w:val="0"/>
                  <w:marBottom w:val="0"/>
                  <w:divBdr>
                    <w:top w:val="none" w:sz="0" w:space="0" w:color="auto"/>
                    <w:left w:val="none" w:sz="0" w:space="0" w:color="auto"/>
                    <w:bottom w:val="none" w:sz="0" w:space="0" w:color="auto"/>
                    <w:right w:val="none" w:sz="0" w:space="0" w:color="auto"/>
                  </w:divBdr>
                  <w:divsChild>
                    <w:div w:id="246888449">
                      <w:marLeft w:val="0"/>
                      <w:marRight w:val="0"/>
                      <w:marTop w:val="0"/>
                      <w:marBottom w:val="0"/>
                      <w:divBdr>
                        <w:top w:val="none" w:sz="0" w:space="0" w:color="auto"/>
                        <w:left w:val="none" w:sz="0" w:space="0" w:color="auto"/>
                        <w:bottom w:val="none" w:sz="0" w:space="0" w:color="auto"/>
                        <w:right w:val="none" w:sz="0" w:space="0" w:color="auto"/>
                      </w:divBdr>
                    </w:div>
                  </w:divsChild>
                </w:div>
                <w:div w:id="315915662">
                  <w:marLeft w:val="0"/>
                  <w:marRight w:val="0"/>
                  <w:marTop w:val="0"/>
                  <w:marBottom w:val="0"/>
                  <w:divBdr>
                    <w:top w:val="none" w:sz="0" w:space="0" w:color="auto"/>
                    <w:left w:val="none" w:sz="0" w:space="0" w:color="auto"/>
                    <w:bottom w:val="none" w:sz="0" w:space="0" w:color="auto"/>
                    <w:right w:val="none" w:sz="0" w:space="0" w:color="auto"/>
                  </w:divBdr>
                  <w:divsChild>
                    <w:div w:id="1697341247">
                      <w:marLeft w:val="0"/>
                      <w:marRight w:val="0"/>
                      <w:marTop w:val="0"/>
                      <w:marBottom w:val="0"/>
                      <w:divBdr>
                        <w:top w:val="none" w:sz="0" w:space="0" w:color="auto"/>
                        <w:left w:val="none" w:sz="0" w:space="0" w:color="auto"/>
                        <w:bottom w:val="none" w:sz="0" w:space="0" w:color="auto"/>
                        <w:right w:val="none" w:sz="0" w:space="0" w:color="auto"/>
                      </w:divBdr>
                    </w:div>
                  </w:divsChild>
                </w:div>
                <w:div w:id="400443455">
                  <w:marLeft w:val="0"/>
                  <w:marRight w:val="0"/>
                  <w:marTop w:val="0"/>
                  <w:marBottom w:val="0"/>
                  <w:divBdr>
                    <w:top w:val="none" w:sz="0" w:space="0" w:color="auto"/>
                    <w:left w:val="none" w:sz="0" w:space="0" w:color="auto"/>
                    <w:bottom w:val="none" w:sz="0" w:space="0" w:color="auto"/>
                    <w:right w:val="none" w:sz="0" w:space="0" w:color="auto"/>
                  </w:divBdr>
                  <w:divsChild>
                    <w:div w:id="1601718154">
                      <w:marLeft w:val="0"/>
                      <w:marRight w:val="0"/>
                      <w:marTop w:val="0"/>
                      <w:marBottom w:val="0"/>
                      <w:divBdr>
                        <w:top w:val="none" w:sz="0" w:space="0" w:color="auto"/>
                        <w:left w:val="none" w:sz="0" w:space="0" w:color="auto"/>
                        <w:bottom w:val="none" w:sz="0" w:space="0" w:color="auto"/>
                        <w:right w:val="none" w:sz="0" w:space="0" w:color="auto"/>
                      </w:divBdr>
                    </w:div>
                  </w:divsChild>
                </w:div>
                <w:div w:id="455488499">
                  <w:marLeft w:val="0"/>
                  <w:marRight w:val="0"/>
                  <w:marTop w:val="0"/>
                  <w:marBottom w:val="0"/>
                  <w:divBdr>
                    <w:top w:val="none" w:sz="0" w:space="0" w:color="auto"/>
                    <w:left w:val="none" w:sz="0" w:space="0" w:color="auto"/>
                    <w:bottom w:val="none" w:sz="0" w:space="0" w:color="auto"/>
                    <w:right w:val="none" w:sz="0" w:space="0" w:color="auto"/>
                  </w:divBdr>
                  <w:divsChild>
                    <w:div w:id="894467792">
                      <w:marLeft w:val="0"/>
                      <w:marRight w:val="0"/>
                      <w:marTop w:val="0"/>
                      <w:marBottom w:val="0"/>
                      <w:divBdr>
                        <w:top w:val="none" w:sz="0" w:space="0" w:color="auto"/>
                        <w:left w:val="none" w:sz="0" w:space="0" w:color="auto"/>
                        <w:bottom w:val="none" w:sz="0" w:space="0" w:color="auto"/>
                        <w:right w:val="none" w:sz="0" w:space="0" w:color="auto"/>
                      </w:divBdr>
                    </w:div>
                  </w:divsChild>
                </w:div>
                <w:div w:id="459156990">
                  <w:marLeft w:val="0"/>
                  <w:marRight w:val="0"/>
                  <w:marTop w:val="0"/>
                  <w:marBottom w:val="0"/>
                  <w:divBdr>
                    <w:top w:val="none" w:sz="0" w:space="0" w:color="auto"/>
                    <w:left w:val="none" w:sz="0" w:space="0" w:color="auto"/>
                    <w:bottom w:val="none" w:sz="0" w:space="0" w:color="auto"/>
                    <w:right w:val="none" w:sz="0" w:space="0" w:color="auto"/>
                  </w:divBdr>
                  <w:divsChild>
                    <w:div w:id="961305043">
                      <w:marLeft w:val="0"/>
                      <w:marRight w:val="0"/>
                      <w:marTop w:val="0"/>
                      <w:marBottom w:val="0"/>
                      <w:divBdr>
                        <w:top w:val="none" w:sz="0" w:space="0" w:color="auto"/>
                        <w:left w:val="none" w:sz="0" w:space="0" w:color="auto"/>
                        <w:bottom w:val="none" w:sz="0" w:space="0" w:color="auto"/>
                        <w:right w:val="none" w:sz="0" w:space="0" w:color="auto"/>
                      </w:divBdr>
                    </w:div>
                  </w:divsChild>
                </w:div>
                <w:div w:id="481193983">
                  <w:marLeft w:val="0"/>
                  <w:marRight w:val="0"/>
                  <w:marTop w:val="0"/>
                  <w:marBottom w:val="0"/>
                  <w:divBdr>
                    <w:top w:val="none" w:sz="0" w:space="0" w:color="auto"/>
                    <w:left w:val="none" w:sz="0" w:space="0" w:color="auto"/>
                    <w:bottom w:val="none" w:sz="0" w:space="0" w:color="auto"/>
                    <w:right w:val="none" w:sz="0" w:space="0" w:color="auto"/>
                  </w:divBdr>
                  <w:divsChild>
                    <w:div w:id="1393769493">
                      <w:marLeft w:val="0"/>
                      <w:marRight w:val="0"/>
                      <w:marTop w:val="0"/>
                      <w:marBottom w:val="0"/>
                      <w:divBdr>
                        <w:top w:val="none" w:sz="0" w:space="0" w:color="auto"/>
                        <w:left w:val="none" w:sz="0" w:space="0" w:color="auto"/>
                        <w:bottom w:val="none" w:sz="0" w:space="0" w:color="auto"/>
                        <w:right w:val="none" w:sz="0" w:space="0" w:color="auto"/>
                      </w:divBdr>
                    </w:div>
                  </w:divsChild>
                </w:div>
                <w:div w:id="525800396">
                  <w:marLeft w:val="0"/>
                  <w:marRight w:val="0"/>
                  <w:marTop w:val="0"/>
                  <w:marBottom w:val="0"/>
                  <w:divBdr>
                    <w:top w:val="none" w:sz="0" w:space="0" w:color="auto"/>
                    <w:left w:val="none" w:sz="0" w:space="0" w:color="auto"/>
                    <w:bottom w:val="none" w:sz="0" w:space="0" w:color="auto"/>
                    <w:right w:val="none" w:sz="0" w:space="0" w:color="auto"/>
                  </w:divBdr>
                  <w:divsChild>
                    <w:div w:id="209541534">
                      <w:marLeft w:val="0"/>
                      <w:marRight w:val="0"/>
                      <w:marTop w:val="0"/>
                      <w:marBottom w:val="0"/>
                      <w:divBdr>
                        <w:top w:val="none" w:sz="0" w:space="0" w:color="auto"/>
                        <w:left w:val="none" w:sz="0" w:space="0" w:color="auto"/>
                        <w:bottom w:val="none" w:sz="0" w:space="0" w:color="auto"/>
                        <w:right w:val="none" w:sz="0" w:space="0" w:color="auto"/>
                      </w:divBdr>
                    </w:div>
                  </w:divsChild>
                </w:div>
                <w:div w:id="534779837">
                  <w:marLeft w:val="0"/>
                  <w:marRight w:val="0"/>
                  <w:marTop w:val="0"/>
                  <w:marBottom w:val="0"/>
                  <w:divBdr>
                    <w:top w:val="none" w:sz="0" w:space="0" w:color="auto"/>
                    <w:left w:val="none" w:sz="0" w:space="0" w:color="auto"/>
                    <w:bottom w:val="none" w:sz="0" w:space="0" w:color="auto"/>
                    <w:right w:val="none" w:sz="0" w:space="0" w:color="auto"/>
                  </w:divBdr>
                  <w:divsChild>
                    <w:div w:id="511800876">
                      <w:marLeft w:val="0"/>
                      <w:marRight w:val="0"/>
                      <w:marTop w:val="0"/>
                      <w:marBottom w:val="0"/>
                      <w:divBdr>
                        <w:top w:val="none" w:sz="0" w:space="0" w:color="auto"/>
                        <w:left w:val="none" w:sz="0" w:space="0" w:color="auto"/>
                        <w:bottom w:val="none" w:sz="0" w:space="0" w:color="auto"/>
                        <w:right w:val="none" w:sz="0" w:space="0" w:color="auto"/>
                      </w:divBdr>
                    </w:div>
                  </w:divsChild>
                </w:div>
                <w:div w:id="553666269">
                  <w:marLeft w:val="0"/>
                  <w:marRight w:val="0"/>
                  <w:marTop w:val="0"/>
                  <w:marBottom w:val="0"/>
                  <w:divBdr>
                    <w:top w:val="none" w:sz="0" w:space="0" w:color="auto"/>
                    <w:left w:val="none" w:sz="0" w:space="0" w:color="auto"/>
                    <w:bottom w:val="none" w:sz="0" w:space="0" w:color="auto"/>
                    <w:right w:val="none" w:sz="0" w:space="0" w:color="auto"/>
                  </w:divBdr>
                  <w:divsChild>
                    <w:div w:id="1160736263">
                      <w:marLeft w:val="0"/>
                      <w:marRight w:val="0"/>
                      <w:marTop w:val="0"/>
                      <w:marBottom w:val="0"/>
                      <w:divBdr>
                        <w:top w:val="none" w:sz="0" w:space="0" w:color="auto"/>
                        <w:left w:val="none" w:sz="0" w:space="0" w:color="auto"/>
                        <w:bottom w:val="none" w:sz="0" w:space="0" w:color="auto"/>
                        <w:right w:val="none" w:sz="0" w:space="0" w:color="auto"/>
                      </w:divBdr>
                    </w:div>
                  </w:divsChild>
                </w:div>
                <w:div w:id="585069516">
                  <w:marLeft w:val="0"/>
                  <w:marRight w:val="0"/>
                  <w:marTop w:val="0"/>
                  <w:marBottom w:val="0"/>
                  <w:divBdr>
                    <w:top w:val="none" w:sz="0" w:space="0" w:color="auto"/>
                    <w:left w:val="none" w:sz="0" w:space="0" w:color="auto"/>
                    <w:bottom w:val="none" w:sz="0" w:space="0" w:color="auto"/>
                    <w:right w:val="none" w:sz="0" w:space="0" w:color="auto"/>
                  </w:divBdr>
                  <w:divsChild>
                    <w:div w:id="254677755">
                      <w:marLeft w:val="0"/>
                      <w:marRight w:val="0"/>
                      <w:marTop w:val="0"/>
                      <w:marBottom w:val="0"/>
                      <w:divBdr>
                        <w:top w:val="none" w:sz="0" w:space="0" w:color="auto"/>
                        <w:left w:val="none" w:sz="0" w:space="0" w:color="auto"/>
                        <w:bottom w:val="none" w:sz="0" w:space="0" w:color="auto"/>
                        <w:right w:val="none" w:sz="0" w:space="0" w:color="auto"/>
                      </w:divBdr>
                    </w:div>
                  </w:divsChild>
                </w:div>
                <w:div w:id="586158846">
                  <w:marLeft w:val="0"/>
                  <w:marRight w:val="0"/>
                  <w:marTop w:val="0"/>
                  <w:marBottom w:val="0"/>
                  <w:divBdr>
                    <w:top w:val="none" w:sz="0" w:space="0" w:color="auto"/>
                    <w:left w:val="none" w:sz="0" w:space="0" w:color="auto"/>
                    <w:bottom w:val="none" w:sz="0" w:space="0" w:color="auto"/>
                    <w:right w:val="none" w:sz="0" w:space="0" w:color="auto"/>
                  </w:divBdr>
                  <w:divsChild>
                    <w:div w:id="396518838">
                      <w:marLeft w:val="0"/>
                      <w:marRight w:val="0"/>
                      <w:marTop w:val="0"/>
                      <w:marBottom w:val="0"/>
                      <w:divBdr>
                        <w:top w:val="none" w:sz="0" w:space="0" w:color="auto"/>
                        <w:left w:val="none" w:sz="0" w:space="0" w:color="auto"/>
                        <w:bottom w:val="none" w:sz="0" w:space="0" w:color="auto"/>
                        <w:right w:val="none" w:sz="0" w:space="0" w:color="auto"/>
                      </w:divBdr>
                    </w:div>
                  </w:divsChild>
                </w:div>
                <w:div w:id="612977533">
                  <w:marLeft w:val="0"/>
                  <w:marRight w:val="0"/>
                  <w:marTop w:val="0"/>
                  <w:marBottom w:val="0"/>
                  <w:divBdr>
                    <w:top w:val="none" w:sz="0" w:space="0" w:color="auto"/>
                    <w:left w:val="none" w:sz="0" w:space="0" w:color="auto"/>
                    <w:bottom w:val="none" w:sz="0" w:space="0" w:color="auto"/>
                    <w:right w:val="none" w:sz="0" w:space="0" w:color="auto"/>
                  </w:divBdr>
                  <w:divsChild>
                    <w:div w:id="776099397">
                      <w:marLeft w:val="0"/>
                      <w:marRight w:val="0"/>
                      <w:marTop w:val="0"/>
                      <w:marBottom w:val="0"/>
                      <w:divBdr>
                        <w:top w:val="none" w:sz="0" w:space="0" w:color="auto"/>
                        <w:left w:val="none" w:sz="0" w:space="0" w:color="auto"/>
                        <w:bottom w:val="none" w:sz="0" w:space="0" w:color="auto"/>
                        <w:right w:val="none" w:sz="0" w:space="0" w:color="auto"/>
                      </w:divBdr>
                    </w:div>
                  </w:divsChild>
                </w:div>
                <w:div w:id="643856361">
                  <w:marLeft w:val="0"/>
                  <w:marRight w:val="0"/>
                  <w:marTop w:val="0"/>
                  <w:marBottom w:val="0"/>
                  <w:divBdr>
                    <w:top w:val="none" w:sz="0" w:space="0" w:color="auto"/>
                    <w:left w:val="none" w:sz="0" w:space="0" w:color="auto"/>
                    <w:bottom w:val="none" w:sz="0" w:space="0" w:color="auto"/>
                    <w:right w:val="none" w:sz="0" w:space="0" w:color="auto"/>
                  </w:divBdr>
                  <w:divsChild>
                    <w:div w:id="1442528261">
                      <w:marLeft w:val="0"/>
                      <w:marRight w:val="0"/>
                      <w:marTop w:val="0"/>
                      <w:marBottom w:val="0"/>
                      <w:divBdr>
                        <w:top w:val="none" w:sz="0" w:space="0" w:color="auto"/>
                        <w:left w:val="none" w:sz="0" w:space="0" w:color="auto"/>
                        <w:bottom w:val="none" w:sz="0" w:space="0" w:color="auto"/>
                        <w:right w:val="none" w:sz="0" w:space="0" w:color="auto"/>
                      </w:divBdr>
                    </w:div>
                  </w:divsChild>
                </w:div>
                <w:div w:id="726299033">
                  <w:marLeft w:val="0"/>
                  <w:marRight w:val="0"/>
                  <w:marTop w:val="0"/>
                  <w:marBottom w:val="0"/>
                  <w:divBdr>
                    <w:top w:val="none" w:sz="0" w:space="0" w:color="auto"/>
                    <w:left w:val="none" w:sz="0" w:space="0" w:color="auto"/>
                    <w:bottom w:val="none" w:sz="0" w:space="0" w:color="auto"/>
                    <w:right w:val="none" w:sz="0" w:space="0" w:color="auto"/>
                  </w:divBdr>
                  <w:divsChild>
                    <w:div w:id="1216815938">
                      <w:marLeft w:val="0"/>
                      <w:marRight w:val="0"/>
                      <w:marTop w:val="0"/>
                      <w:marBottom w:val="0"/>
                      <w:divBdr>
                        <w:top w:val="none" w:sz="0" w:space="0" w:color="auto"/>
                        <w:left w:val="none" w:sz="0" w:space="0" w:color="auto"/>
                        <w:bottom w:val="none" w:sz="0" w:space="0" w:color="auto"/>
                        <w:right w:val="none" w:sz="0" w:space="0" w:color="auto"/>
                      </w:divBdr>
                    </w:div>
                  </w:divsChild>
                </w:div>
                <w:div w:id="794448769">
                  <w:marLeft w:val="0"/>
                  <w:marRight w:val="0"/>
                  <w:marTop w:val="0"/>
                  <w:marBottom w:val="0"/>
                  <w:divBdr>
                    <w:top w:val="none" w:sz="0" w:space="0" w:color="auto"/>
                    <w:left w:val="none" w:sz="0" w:space="0" w:color="auto"/>
                    <w:bottom w:val="none" w:sz="0" w:space="0" w:color="auto"/>
                    <w:right w:val="none" w:sz="0" w:space="0" w:color="auto"/>
                  </w:divBdr>
                  <w:divsChild>
                    <w:div w:id="2003124520">
                      <w:marLeft w:val="0"/>
                      <w:marRight w:val="0"/>
                      <w:marTop w:val="0"/>
                      <w:marBottom w:val="0"/>
                      <w:divBdr>
                        <w:top w:val="none" w:sz="0" w:space="0" w:color="auto"/>
                        <w:left w:val="none" w:sz="0" w:space="0" w:color="auto"/>
                        <w:bottom w:val="none" w:sz="0" w:space="0" w:color="auto"/>
                        <w:right w:val="none" w:sz="0" w:space="0" w:color="auto"/>
                      </w:divBdr>
                    </w:div>
                  </w:divsChild>
                </w:div>
                <w:div w:id="812798330">
                  <w:marLeft w:val="0"/>
                  <w:marRight w:val="0"/>
                  <w:marTop w:val="0"/>
                  <w:marBottom w:val="0"/>
                  <w:divBdr>
                    <w:top w:val="none" w:sz="0" w:space="0" w:color="auto"/>
                    <w:left w:val="none" w:sz="0" w:space="0" w:color="auto"/>
                    <w:bottom w:val="none" w:sz="0" w:space="0" w:color="auto"/>
                    <w:right w:val="none" w:sz="0" w:space="0" w:color="auto"/>
                  </w:divBdr>
                  <w:divsChild>
                    <w:div w:id="852187297">
                      <w:marLeft w:val="0"/>
                      <w:marRight w:val="0"/>
                      <w:marTop w:val="0"/>
                      <w:marBottom w:val="0"/>
                      <w:divBdr>
                        <w:top w:val="none" w:sz="0" w:space="0" w:color="auto"/>
                        <w:left w:val="none" w:sz="0" w:space="0" w:color="auto"/>
                        <w:bottom w:val="none" w:sz="0" w:space="0" w:color="auto"/>
                        <w:right w:val="none" w:sz="0" w:space="0" w:color="auto"/>
                      </w:divBdr>
                    </w:div>
                  </w:divsChild>
                </w:div>
                <w:div w:id="824132118">
                  <w:marLeft w:val="0"/>
                  <w:marRight w:val="0"/>
                  <w:marTop w:val="0"/>
                  <w:marBottom w:val="0"/>
                  <w:divBdr>
                    <w:top w:val="none" w:sz="0" w:space="0" w:color="auto"/>
                    <w:left w:val="none" w:sz="0" w:space="0" w:color="auto"/>
                    <w:bottom w:val="none" w:sz="0" w:space="0" w:color="auto"/>
                    <w:right w:val="none" w:sz="0" w:space="0" w:color="auto"/>
                  </w:divBdr>
                  <w:divsChild>
                    <w:div w:id="886793945">
                      <w:marLeft w:val="0"/>
                      <w:marRight w:val="0"/>
                      <w:marTop w:val="0"/>
                      <w:marBottom w:val="0"/>
                      <w:divBdr>
                        <w:top w:val="none" w:sz="0" w:space="0" w:color="auto"/>
                        <w:left w:val="none" w:sz="0" w:space="0" w:color="auto"/>
                        <w:bottom w:val="none" w:sz="0" w:space="0" w:color="auto"/>
                        <w:right w:val="none" w:sz="0" w:space="0" w:color="auto"/>
                      </w:divBdr>
                    </w:div>
                  </w:divsChild>
                </w:div>
                <w:div w:id="837959902">
                  <w:marLeft w:val="0"/>
                  <w:marRight w:val="0"/>
                  <w:marTop w:val="0"/>
                  <w:marBottom w:val="0"/>
                  <w:divBdr>
                    <w:top w:val="none" w:sz="0" w:space="0" w:color="auto"/>
                    <w:left w:val="none" w:sz="0" w:space="0" w:color="auto"/>
                    <w:bottom w:val="none" w:sz="0" w:space="0" w:color="auto"/>
                    <w:right w:val="none" w:sz="0" w:space="0" w:color="auto"/>
                  </w:divBdr>
                  <w:divsChild>
                    <w:div w:id="1173649107">
                      <w:marLeft w:val="0"/>
                      <w:marRight w:val="0"/>
                      <w:marTop w:val="0"/>
                      <w:marBottom w:val="0"/>
                      <w:divBdr>
                        <w:top w:val="none" w:sz="0" w:space="0" w:color="auto"/>
                        <w:left w:val="none" w:sz="0" w:space="0" w:color="auto"/>
                        <w:bottom w:val="none" w:sz="0" w:space="0" w:color="auto"/>
                        <w:right w:val="none" w:sz="0" w:space="0" w:color="auto"/>
                      </w:divBdr>
                    </w:div>
                  </w:divsChild>
                </w:div>
                <w:div w:id="847714824">
                  <w:marLeft w:val="0"/>
                  <w:marRight w:val="0"/>
                  <w:marTop w:val="0"/>
                  <w:marBottom w:val="0"/>
                  <w:divBdr>
                    <w:top w:val="none" w:sz="0" w:space="0" w:color="auto"/>
                    <w:left w:val="none" w:sz="0" w:space="0" w:color="auto"/>
                    <w:bottom w:val="none" w:sz="0" w:space="0" w:color="auto"/>
                    <w:right w:val="none" w:sz="0" w:space="0" w:color="auto"/>
                  </w:divBdr>
                  <w:divsChild>
                    <w:div w:id="732892275">
                      <w:marLeft w:val="0"/>
                      <w:marRight w:val="0"/>
                      <w:marTop w:val="0"/>
                      <w:marBottom w:val="0"/>
                      <w:divBdr>
                        <w:top w:val="none" w:sz="0" w:space="0" w:color="auto"/>
                        <w:left w:val="none" w:sz="0" w:space="0" w:color="auto"/>
                        <w:bottom w:val="none" w:sz="0" w:space="0" w:color="auto"/>
                        <w:right w:val="none" w:sz="0" w:space="0" w:color="auto"/>
                      </w:divBdr>
                    </w:div>
                  </w:divsChild>
                </w:div>
                <w:div w:id="917060846">
                  <w:marLeft w:val="0"/>
                  <w:marRight w:val="0"/>
                  <w:marTop w:val="0"/>
                  <w:marBottom w:val="0"/>
                  <w:divBdr>
                    <w:top w:val="none" w:sz="0" w:space="0" w:color="auto"/>
                    <w:left w:val="none" w:sz="0" w:space="0" w:color="auto"/>
                    <w:bottom w:val="none" w:sz="0" w:space="0" w:color="auto"/>
                    <w:right w:val="none" w:sz="0" w:space="0" w:color="auto"/>
                  </w:divBdr>
                  <w:divsChild>
                    <w:div w:id="190922437">
                      <w:marLeft w:val="0"/>
                      <w:marRight w:val="0"/>
                      <w:marTop w:val="0"/>
                      <w:marBottom w:val="0"/>
                      <w:divBdr>
                        <w:top w:val="none" w:sz="0" w:space="0" w:color="auto"/>
                        <w:left w:val="none" w:sz="0" w:space="0" w:color="auto"/>
                        <w:bottom w:val="none" w:sz="0" w:space="0" w:color="auto"/>
                        <w:right w:val="none" w:sz="0" w:space="0" w:color="auto"/>
                      </w:divBdr>
                    </w:div>
                  </w:divsChild>
                </w:div>
                <w:div w:id="986516603">
                  <w:marLeft w:val="0"/>
                  <w:marRight w:val="0"/>
                  <w:marTop w:val="0"/>
                  <w:marBottom w:val="0"/>
                  <w:divBdr>
                    <w:top w:val="none" w:sz="0" w:space="0" w:color="auto"/>
                    <w:left w:val="none" w:sz="0" w:space="0" w:color="auto"/>
                    <w:bottom w:val="none" w:sz="0" w:space="0" w:color="auto"/>
                    <w:right w:val="none" w:sz="0" w:space="0" w:color="auto"/>
                  </w:divBdr>
                  <w:divsChild>
                    <w:div w:id="1277836661">
                      <w:marLeft w:val="0"/>
                      <w:marRight w:val="0"/>
                      <w:marTop w:val="0"/>
                      <w:marBottom w:val="0"/>
                      <w:divBdr>
                        <w:top w:val="none" w:sz="0" w:space="0" w:color="auto"/>
                        <w:left w:val="none" w:sz="0" w:space="0" w:color="auto"/>
                        <w:bottom w:val="none" w:sz="0" w:space="0" w:color="auto"/>
                        <w:right w:val="none" w:sz="0" w:space="0" w:color="auto"/>
                      </w:divBdr>
                    </w:div>
                  </w:divsChild>
                </w:div>
                <w:div w:id="1094127060">
                  <w:marLeft w:val="0"/>
                  <w:marRight w:val="0"/>
                  <w:marTop w:val="0"/>
                  <w:marBottom w:val="0"/>
                  <w:divBdr>
                    <w:top w:val="none" w:sz="0" w:space="0" w:color="auto"/>
                    <w:left w:val="none" w:sz="0" w:space="0" w:color="auto"/>
                    <w:bottom w:val="none" w:sz="0" w:space="0" w:color="auto"/>
                    <w:right w:val="none" w:sz="0" w:space="0" w:color="auto"/>
                  </w:divBdr>
                  <w:divsChild>
                    <w:div w:id="1630816987">
                      <w:marLeft w:val="0"/>
                      <w:marRight w:val="0"/>
                      <w:marTop w:val="0"/>
                      <w:marBottom w:val="0"/>
                      <w:divBdr>
                        <w:top w:val="none" w:sz="0" w:space="0" w:color="auto"/>
                        <w:left w:val="none" w:sz="0" w:space="0" w:color="auto"/>
                        <w:bottom w:val="none" w:sz="0" w:space="0" w:color="auto"/>
                        <w:right w:val="none" w:sz="0" w:space="0" w:color="auto"/>
                      </w:divBdr>
                    </w:div>
                  </w:divsChild>
                </w:div>
                <w:div w:id="1105539877">
                  <w:marLeft w:val="0"/>
                  <w:marRight w:val="0"/>
                  <w:marTop w:val="0"/>
                  <w:marBottom w:val="0"/>
                  <w:divBdr>
                    <w:top w:val="none" w:sz="0" w:space="0" w:color="auto"/>
                    <w:left w:val="none" w:sz="0" w:space="0" w:color="auto"/>
                    <w:bottom w:val="none" w:sz="0" w:space="0" w:color="auto"/>
                    <w:right w:val="none" w:sz="0" w:space="0" w:color="auto"/>
                  </w:divBdr>
                  <w:divsChild>
                    <w:div w:id="958611108">
                      <w:marLeft w:val="0"/>
                      <w:marRight w:val="0"/>
                      <w:marTop w:val="0"/>
                      <w:marBottom w:val="0"/>
                      <w:divBdr>
                        <w:top w:val="none" w:sz="0" w:space="0" w:color="auto"/>
                        <w:left w:val="none" w:sz="0" w:space="0" w:color="auto"/>
                        <w:bottom w:val="none" w:sz="0" w:space="0" w:color="auto"/>
                        <w:right w:val="none" w:sz="0" w:space="0" w:color="auto"/>
                      </w:divBdr>
                    </w:div>
                  </w:divsChild>
                </w:div>
                <w:div w:id="1269891367">
                  <w:marLeft w:val="0"/>
                  <w:marRight w:val="0"/>
                  <w:marTop w:val="0"/>
                  <w:marBottom w:val="0"/>
                  <w:divBdr>
                    <w:top w:val="none" w:sz="0" w:space="0" w:color="auto"/>
                    <w:left w:val="none" w:sz="0" w:space="0" w:color="auto"/>
                    <w:bottom w:val="none" w:sz="0" w:space="0" w:color="auto"/>
                    <w:right w:val="none" w:sz="0" w:space="0" w:color="auto"/>
                  </w:divBdr>
                  <w:divsChild>
                    <w:div w:id="1612742407">
                      <w:marLeft w:val="0"/>
                      <w:marRight w:val="0"/>
                      <w:marTop w:val="0"/>
                      <w:marBottom w:val="0"/>
                      <w:divBdr>
                        <w:top w:val="none" w:sz="0" w:space="0" w:color="auto"/>
                        <w:left w:val="none" w:sz="0" w:space="0" w:color="auto"/>
                        <w:bottom w:val="none" w:sz="0" w:space="0" w:color="auto"/>
                        <w:right w:val="none" w:sz="0" w:space="0" w:color="auto"/>
                      </w:divBdr>
                    </w:div>
                  </w:divsChild>
                </w:div>
                <w:div w:id="1289318057">
                  <w:marLeft w:val="0"/>
                  <w:marRight w:val="0"/>
                  <w:marTop w:val="0"/>
                  <w:marBottom w:val="0"/>
                  <w:divBdr>
                    <w:top w:val="none" w:sz="0" w:space="0" w:color="auto"/>
                    <w:left w:val="none" w:sz="0" w:space="0" w:color="auto"/>
                    <w:bottom w:val="none" w:sz="0" w:space="0" w:color="auto"/>
                    <w:right w:val="none" w:sz="0" w:space="0" w:color="auto"/>
                  </w:divBdr>
                  <w:divsChild>
                    <w:div w:id="844050394">
                      <w:marLeft w:val="0"/>
                      <w:marRight w:val="0"/>
                      <w:marTop w:val="0"/>
                      <w:marBottom w:val="0"/>
                      <w:divBdr>
                        <w:top w:val="none" w:sz="0" w:space="0" w:color="auto"/>
                        <w:left w:val="none" w:sz="0" w:space="0" w:color="auto"/>
                        <w:bottom w:val="none" w:sz="0" w:space="0" w:color="auto"/>
                        <w:right w:val="none" w:sz="0" w:space="0" w:color="auto"/>
                      </w:divBdr>
                    </w:div>
                  </w:divsChild>
                </w:div>
                <w:div w:id="1315640657">
                  <w:marLeft w:val="0"/>
                  <w:marRight w:val="0"/>
                  <w:marTop w:val="0"/>
                  <w:marBottom w:val="0"/>
                  <w:divBdr>
                    <w:top w:val="none" w:sz="0" w:space="0" w:color="auto"/>
                    <w:left w:val="none" w:sz="0" w:space="0" w:color="auto"/>
                    <w:bottom w:val="none" w:sz="0" w:space="0" w:color="auto"/>
                    <w:right w:val="none" w:sz="0" w:space="0" w:color="auto"/>
                  </w:divBdr>
                  <w:divsChild>
                    <w:div w:id="1772123863">
                      <w:marLeft w:val="0"/>
                      <w:marRight w:val="0"/>
                      <w:marTop w:val="0"/>
                      <w:marBottom w:val="0"/>
                      <w:divBdr>
                        <w:top w:val="none" w:sz="0" w:space="0" w:color="auto"/>
                        <w:left w:val="none" w:sz="0" w:space="0" w:color="auto"/>
                        <w:bottom w:val="none" w:sz="0" w:space="0" w:color="auto"/>
                        <w:right w:val="none" w:sz="0" w:space="0" w:color="auto"/>
                      </w:divBdr>
                    </w:div>
                  </w:divsChild>
                </w:div>
                <w:div w:id="1329285886">
                  <w:marLeft w:val="0"/>
                  <w:marRight w:val="0"/>
                  <w:marTop w:val="0"/>
                  <w:marBottom w:val="0"/>
                  <w:divBdr>
                    <w:top w:val="none" w:sz="0" w:space="0" w:color="auto"/>
                    <w:left w:val="none" w:sz="0" w:space="0" w:color="auto"/>
                    <w:bottom w:val="none" w:sz="0" w:space="0" w:color="auto"/>
                    <w:right w:val="none" w:sz="0" w:space="0" w:color="auto"/>
                  </w:divBdr>
                  <w:divsChild>
                    <w:div w:id="367947352">
                      <w:marLeft w:val="0"/>
                      <w:marRight w:val="0"/>
                      <w:marTop w:val="0"/>
                      <w:marBottom w:val="0"/>
                      <w:divBdr>
                        <w:top w:val="none" w:sz="0" w:space="0" w:color="auto"/>
                        <w:left w:val="none" w:sz="0" w:space="0" w:color="auto"/>
                        <w:bottom w:val="none" w:sz="0" w:space="0" w:color="auto"/>
                        <w:right w:val="none" w:sz="0" w:space="0" w:color="auto"/>
                      </w:divBdr>
                    </w:div>
                  </w:divsChild>
                </w:div>
                <w:div w:id="1335886310">
                  <w:marLeft w:val="0"/>
                  <w:marRight w:val="0"/>
                  <w:marTop w:val="0"/>
                  <w:marBottom w:val="0"/>
                  <w:divBdr>
                    <w:top w:val="none" w:sz="0" w:space="0" w:color="auto"/>
                    <w:left w:val="none" w:sz="0" w:space="0" w:color="auto"/>
                    <w:bottom w:val="none" w:sz="0" w:space="0" w:color="auto"/>
                    <w:right w:val="none" w:sz="0" w:space="0" w:color="auto"/>
                  </w:divBdr>
                  <w:divsChild>
                    <w:div w:id="1721897844">
                      <w:marLeft w:val="0"/>
                      <w:marRight w:val="0"/>
                      <w:marTop w:val="0"/>
                      <w:marBottom w:val="0"/>
                      <w:divBdr>
                        <w:top w:val="none" w:sz="0" w:space="0" w:color="auto"/>
                        <w:left w:val="none" w:sz="0" w:space="0" w:color="auto"/>
                        <w:bottom w:val="none" w:sz="0" w:space="0" w:color="auto"/>
                        <w:right w:val="none" w:sz="0" w:space="0" w:color="auto"/>
                      </w:divBdr>
                    </w:div>
                  </w:divsChild>
                </w:div>
                <w:div w:id="1337227354">
                  <w:marLeft w:val="0"/>
                  <w:marRight w:val="0"/>
                  <w:marTop w:val="0"/>
                  <w:marBottom w:val="0"/>
                  <w:divBdr>
                    <w:top w:val="none" w:sz="0" w:space="0" w:color="auto"/>
                    <w:left w:val="none" w:sz="0" w:space="0" w:color="auto"/>
                    <w:bottom w:val="none" w:sz="0" w:space="0" w:color="auto"/>
                    <w:right w:val="none" w:sz="0" w:space="0" w:color="auto"/>
                  </w:divBdr>
                  <w:divsChild>
                    <w:div w:id="902905896">
                      <w:marLeft w:val="0"/>
                      <w:marRight w:val="0"/>
                      <w:marTop w:val="0"/>
                      <w:marBottom w:val="0"/>
                      <w:divBdr>
                        <w:top w:val="none" w:sz="0" w:space="0" w:color="auto"/>
                        <w:left w:val="none" w:sz="0" w:space="0" w:color="auto"/>
                        <w:bottom w:val="none" w:sz="0" w:space="0" w:color="auto"/>
                        <w:right w:val="none" w:sz="0" w:space="0" w:color="auto"/>
                      </w:divBdr>
                    </w:div>
                  </w:divsChild>
                </w:div>
                <w:div w:id="1370492713">
                  <w:marLeft w:val="0"/>
                  <w:marRight w:val="0"/>
                  <w:marTop w:val="0"/>
                  <w:marBottom w:val="0"/>
                  <w:divBdr>
                    <w:top w:val="none" w:sz="0" w:space="0" w:color="auto"/>
                    <w:left w:val="none" w:sz="0" w:space="0" w:color="auto"/>
                    <w:bottom w:val="none" w:sz="0" w:space="0" w:color="auto"/>
                    <w:right w:val="none" w:sz="0" w:space="0" w:color="auto"/>
                  </w:divBdr>
                  <w:divsChild>
                    <w:div w:id="588585251">
                      <w:marLeft w:val="0"/>
                      <w:marRight w:val="0"/>
                      <w:marTop w:val="0"/>
                      <w:marBottom w:val="0"/>
                      <w:divBdr>
                        <w:top w:val="none" w:sz="0" w:space="0" w:color="auto"/>
                        <w:left w:val="none" w:sz="0" w:space="0" w:color="auto"/>
                        <w:bottom w:val="none" w:sz="0" w:space="0" w:color="auto"/>
                        <w:right w:val="none" w:sz="0" w:space="0" w:color="auto"/>
                      </w:divBdr>
                    </w:div>
                  </w:divsChild>
                </w:div>
                <w:div w:id="1377003629">
                  <w:marLeft w:val="0"/>
                  <w:marRight w:val="0"/>
                  <w:marTop w:val="0"/>
                  <w:marBottom w:val="0"/>
                  <w:divBdr>
                    <w:top w:val="none" w:sz="0" w:space="0" w:color="auto"/>
                    <w:left w:val="none" w:sz="0" w:space="0" w:color="auto"/>
                    <w:bottom w:val="none" w:sz="0" w:space="0" w:color="auto"/>
                    <w:right w:val="none" w:sz="0" w:space="0" w:color="auto"/>
                  </w:divBdr>
                  <w:divsChild>
                    <w:div w:id="386300758">
                      <w:marLeft w:val="0"/>
                      <w:marRight w:val="0"/>
                      <w:marTop w:val="0"/>
                      <w:marBottom w:val="0"/>
                      <w:divBdr>
                        <w:top w:val="none" w:sz="0" w:space="0" w:color="auto"/>
                        <w:left w:val="none" w:sz="0" w:space="0" w:color="auto"/>
                        <w:bottom w:val="none" w:sz="0" w:space="0" w:color="auto"/>
                        <w:right w:val="none" w:sz="0" w:space="0" w:color="auto"/>
                      </w:divBdr>
                    </w:div>
                  </w:divsChild>
                </w:div>
                <w:div w:id="1486582503">
                  <w:marLeft w:val="0"/>
                  <w:marRight w:val="0"/>
                  <w:marTop w:val="0"/>
                  <w:marBottom w:val="0"/>
                  <w:divBdr>
                    <w:top w:val="none" w:sz="0" w:space="0" w:color="auto"/>
                    <w:left w:val="none" w:sz="0" w:space="0" w:color="auto"/>
                    <w:bottom w:val="none" w:sz="0" w:space="0" w:color="auto"/>
                    <w:right w:val="none" w:sz="0" w:space="0" w:color="auto"/>
                  </w:divBdr>
                  <w:divsChild>
                    <w:div w:id="1086808243">
                      <w:marLeft w:val="0"/>
                      <w:marRight w:val="0"/>
                      <w:marTop w:val="0"/>
                      <w:marBottom w:val="0"/>
                      <w:divBdr>
                        <w:top w:val="none" w:sz="0" w:space="0" w:color="auto"/>
                        <w:left w:val="none" w:sz="0" w:space="0" w:color="auto"/>
                        <w:bottom w:val="none" w:sz="0" w:space="0" w:color="auto"/>
                        <w:right w:val="none" w:sz="0" w:space="0" w:color="auto"/>
                      </w:divBdr>
                    </w:div>
                  </w:divsChild>
                </w:div>
                <w:div w:id="1509440985">
                  <w:marLeft w:val="0"/>
                  <w:marRight w:val="0"/>
                  <w:marTop w:val="0"/>
                  <w:marBottom w:val="0"/>
                  <w:divBdr>
                    <w:top w:val="none" w:sz="0" w:space="0" w:color="auto"/>
                    <w:left w:val="none" w:sz="0" w:space="0" w:color="auto"/>
                    <w:bottom w:val="none" w:sz="0" w:space="0" w:color="auto"/>
                    <w:right w:val="none" w:sz="0" w:space="0" w:color="auto"/>
                  </w:divBdr>
                  <w:divsChild>
                    <w:div w:id="2086341642">
                      <w:marLeft w:val="0"/>
                      <w:marRight w:val="0"/>
                      <w:marTop w:val="0"/>
                      <w:marBottom w:val="0"/>
                      <w:divBdr>
                        <w:top w:val="none" w:sz="0" w:space="0" w:color="auto"/>
                        <w:left w:val="none" w:sz="0" w:space="0" w:color="auto"/>
                        <w:bottom w:val="none" w:sz="0" w:space="0" w:color="auto"/>
                        <w:right w:val="none" w:sz="0" w:space="0" w:color="auto"/>
                      </w:divBdr>
                    </w:div>
                  </w:divsChild>
                </w:div>
                <w:div w:id="1538085019">
                  <w:marLeft w:val="0"/>
                  <w:marRight w:val="0"/>
                  <w:marTop w:val="0"/>
                  <w:marBottom w:val="0"/>
                  <w:divBdr>
                    <w:top w:val="none" w:sz="0" w:space="0" w:color="auto"/>
                    <w:left w:val="none" w:sz="0" w:space="0" w:color="auto"/>
                    <w:bottom w:val="none" w:sz="0" w:space="0" w:color="auto"/>
                    <w:right w:val="none" w:sz="0" w:space="0" w:color="auto"/>
                  </w:divBdr>
                  <w:divsChild>
                    <w:div w:id="1236235888">
                      <w:marLeft w:val="0"/>
                      <w:marRight w:val="0"/>
                      <w:marTop w:val="0"/>
                      <w:marBottom w:val="0"/>
                      <w:divBdr>
                        <w:top w:val="none" w:sz="0" w:space="0" w:color="auto"/>
                        <w:left w:val="none" w:sz="0" w:space="0" w:color="auto"/>
                        <w:bottom w:val="none" w:sz="0" w:space="0" w:color="auto"/>
                        <w:right w:val="none" w:sz="0" w:space="0" w:color="auto"/>
                      </w:divBdr>
                    </w:div>
                  </w:divsChild>
                </w:div>
                <w:div w:id="1574968247">
                  <w:marLeft w:val="0"/>
                  <w:marRight w:val="0"/>
                  <w:marTop w:val="0"/>
                  <w:marBottom w:val="0"/>
                  <w:divBdr>
                    <w:top w:val="none" w:sz="0" w:space="0" w:color="auto"/>
                    <w:left w:val="none" w:sz="0" w:space="0" w:color="auto"/>
                    <w:bottom w:val="none" w:sz="0" w:space="0" w:color="auto"/>
                    <w:right w:val="none" w:sz="0" w:space="0" w:color="auto"/>
                  </w:divBdr>
                  <w:divsChild>
                    <w:div w:id="2084177783">
                      <w:marLeft w:val="0"/>
                      <w:marRight w:val="0"/>
                      <w:marTop w:val="0"/>
                      <w:marBottom w:val="0"/>
                      <w:divBdr>
                        <w:top w:val="none" w:sz="0" w:space="0" w:color="auto"/>
                        <w:left w:val="none" w:sz="0" w:space="0" w:color="auto"/>
                        <w:bottom w:val="none" w:sz="0" w:space="0" w:color="auto"/>
                        <w:right w:val="none" w:sz="0" w:space="0" w:color="auto"/>
                      </w:divBdr>
                    </w:div>
                  </w:divsChild>
                </w:div>
                <w:div w:id="1613635560">
                  <w:marLeft w:val="0"/>
                  <w:marRight w:val="0"/>
                  <w:marTop w:val="0"/>
                  <w:marBottom w:val="0"/>
                  <w:divBdr>
                    <w:top w:val="none" w:sz="0" w:space="0" w:color="auto"/>
                    <w:left w:val="none" w:sz="0" w:space="0" w:color="auto"/>
                    <w:bottom w:val="none" w:sz="0" w:space="0" w:color="auto"/>
                    <w:right w:val="none" w:sz="0" w:space="0" w:color="auto"/>
                  </w:divBdr>
                  <w:divsChild>
                    <w:div w:id="446507177">
                      <w:marLeft w:val="0"/>
                      <w:marRight w:val="0"/>
                      <w:marTop w:val="0"/>
                      <w:marBottom w:val="0"/>
                      <w:divBdr>
                        <w:top w:val="none" w:sz="0" w:space="0" w:color="auto"/>
                        <w:left w:val="none" w:sz="0" w:space="0" w:color="auto"/>
                        <w:bottom w:val="none" w:sz="0" w:space="0" w:color="auto"/>
                        <w:right w:val="none" w:sz="0" w:space="0" w:color="auto"/>
                      </w:divBdr>
                    </w:div>
                  </w:divsChild>
                </w:div>
                <w:div w:id="1652175642">
                  <w:marLeft w:val="0"/>
                  <w:marRight w:val="0"/>
                  <w:marTop w:val="0"/>
                  <w:marBottom w:val="0"/>
                  <w:divBdr>
                    <w:top w:val="none" w:sz="0" w:space="0" w:color="auto"/>
                    <w:left w:val="none" w:sz="0" w:space="0" w:color="auto"/>
                    <w:bottom w:val="none" w:sz="0" w:space="0" w:color="auto"/>
                    <w:right w:val="none" w:sz="0" w:space="0" w:color="auto"/>
                  </w:divBdr>
                  <w:divsChild>
                    <w:div w:id="333462955">
                      <w:marLeft w:val="0"/>
                      <w:marRight w:val="0"/>
                      <w:marTop w:val="0"/>
                      <w:marBottom w:val="0"/>
                      <w:divBdr>
                        <w:top w:val="none" w:sz="0" w:space="0" w:color="auto"/>
                        <w:left w:val="none" w:sz="0" w:space="0" w:color="auto"/>
                        <w:bottom w:val="none" w:sz="0" w:space="0" w:color="auto"/>
                        <w:right w:val="none" w:sz="0" w:space="0" w:color="auto"/>
                      </w:divBdr>
                    </w:div>
                  </w:divsChild>
                </w:div>
                <w:div w:id="1674793356">
                  <w:marLeft w:val="0"/>
                  <w:marRight w:val="0"/>
                  <w:marTop w:val="0"/>
                  <w:marBottom w:val="0"/>
                  <w:divBdr>
                    <w:top w:val="none" w:sz="0" w:space="0" w:color="auto"/>
                    <w:left w:val="none" w:sz="0" w:space="0" w:color="auto"/>
                    <w:bottom w:val="none" w:sz="0" w:space="0" w:color="auto"/>
                    <w:right w:val="none" w:sz="0" w:space="0" w:color="auto"/>
                  </w:divBdr>
                  <w:divsChild>
                    <w:div w:id="1339768609">
                      <w:marLeft w:val="0"/>
                      <w:marRight w:val="0"/>
                      <w:marTop w:val="0"/>
                      <w:marBottom w:val="0"/>
                      <w:divBdr>
                        <w:top w:val="none" w:sz="0" w:space="0" w:color="auto"/>
                        <w:left w:val="none" w:sz="0" w:space="0" w:color="auto"/>
                        <w:bottom w:val="none" w:sz="0" w:space="0" w:color="auto"/>
                        <w:right w:val="none" w:sz="0" w:space="0" w:color="auto"/>
                      </w:divBdr>
                    </w:div>
                  </w:divsChild>
                </w:div>
                <w:div w:id="1775057835">
                  <w:marLeft w:val="0"/>
                  <w:marRight w:val="0"/>
                  <w:marTop w:val="0"/>
                  <w:marBottom w:val="0"/>
                  <w:divBdr>
                    <w:top w:val="none" w:sz="0" w:space="0" w:color="auto"/>
                    <w:left w:val="none" w:sz="0" w:space="0" w:color="auto"/>
                    <w:bottom w:val="none" w:sz="0" w:space="0" w:color="auto"/>
                    <w:right w:val="none" w:sz="0" w:space="0" w:color="auto"/>
                  </w:divBdr>
                  <w:divsChild>
                    <w:div w:id="1229878146">
                      <w:marLeft w:val="0"/>
                      <w:marRight w:val="0"/>
                      <w:marTop w:val="0"/>
                      <w:marBottom w:val="0"/>
                      <w:divBdr>
                        <w:top w:val="none" w:sz="0" w:space="0" w:color="auto"/>
                        <w:left w:val="none" w:sz="0" w:space="0" w:color="auto"/>
                        <w:bottom w:val="none" w:sz="0" w:space="0" w:color="auto"/>
                        <w:right w:val="none" w:sz="0" w:space="0" w:color="auto"/>
                      </w:divBdr>
                    </w:div>
                  </w:divsChild>
                </w:div>
                <w:div w:id="1826817690">
                  <w:marLeft w:val="0"/>
                  <w:marRight w:val="0"/>
                  <w:marTop w:val="0"/>
                  <w:marBottom w:val="0"/>
                  <w:divBdr>
                    <w:top w:val="none" w:sz="0" w:space="0" w:color="auto"/>
                    <w:left w:val="none" w:sz="0" w:space="0" w:color="auto"/>
                    <w:bottom w:val="none" w:sz="0" w:space="0" w:color="auto"/>
                    <w:right w:val="none" w:sz="0" w:space="0" w:color="auto"/>
                  </w:divBdr>
                  <w:divsChild>
                    <w:div w:id="945700207">
                      <w:marLeft w:val="0"/>
                      <w:marRight w:val="0"/>
                      <w:marTop w:val="0"/>
                      <w:marBottom w:val="0"/>
                      <w:divBdr>
                        <w:top w:val="none" w:sz="0" w:space="0" w:color="auto"/>
                        <w:left w:val="none" w:sz="0" w:space="0" w:color="auto"/>
                        <w:bottom w:val="none" w:sz="0" w:space="0" w:color="auto"/>
                        <w:right w:val="none" w:sz="0" w:space="0" w:color="auto"/>
                      </w:divBdr>
                    </w:div>
                  </w:divsChild>
                </w:div>
                <w:div w:id="1832864746">
                  <w:marLeft w:val="0"/>
                  <w:marRight w:val="0"/>
                  <w:marTop w:val="0"/>
                  <w:marBottom w:val="0"/>
                  <w:divBdr>
                    <w:top w:val="none" w:sz="0" w:space="0" w:color="auto"/>
                    <w:left w:val="none" w:sz="0" w:space="0" w:color="auto"/>
                    <w:bottom w:val="none" w:sz="0" w:space="0" w:color="auto"/>
                    <w:right w:val="none" w:sz="0" w:space="0" w:color="auto"/>
                  </w:divBdr>
                  <w:divsChild>
                    <w:div w:id="2001616546">
                      <w:marLeft w:val="0"/>
                      <w:marRight w:val="0"/>
                      <w:marTop w:val="0"/>
                      <w:marBottom w:val="0"/>
                      <w:divBdr>
                        <w:top w:val="none" w:sz="0" w:space="0" w:color="auto"/>
                        <w:left w:val="none" w:sz="0" w:space="0" w:color="auto"/>
                        <w:bottom w:val="none" w:sz="0" w:space="0" w:color="auto"/>
                        <w:right w:val="none" w:sz="0" w:space="0" w:color="auto"/>
                      </w:divBdr>
                    </w:div>
                  </w:divsChild>
                </w:div>
                <w:div w:id="1839610649">
                  <w:marLeft w:val="0"/>
                  <w:marRight w:val="0"/>
                  <w:marTop w:val="0"/>
                  <w:marBottom w:val="0"/>
                  <w:divBdr>
                    <w:top w:val="none" w:sz="0" w:space="0" w:color="auto"/>
                    <w:left w:val="none" w:sz="0" w:space="0" w:color="auto"/>
                    <w:bottom w:val="none" w:sz="0" w:space="0" w:color="auto"/>
                    <w:right w:val="none" w:sz="0" w:space="0" w:color="auto"/>
                  </w:divBdr>
                  <w:divsChild>
                    <w:div w:id="283343787">
                      <w:marLeft w:val="0"/>
                      <w:marRight w:val="0"/>
                      <w:marTop w:val="0"/>
                      <w:marBottom w:val="0"/>
                      <w:divBdr>
                        <w:top w:val="none" w:sz="0" w:space="0" w:color="auto"/>
                        <w:left w:val="none" w:sz="0" w:space="0" w:color="auto"/>
                        <w:bottom w:val="none" w:sz="0" w:space="0" w:color="auto"/>
                        <w:right w:val="none" w:sz="0" w:space="0" w:color="auto"/>
                      </w:divBdr>
                    </w:div>
                  </w:divsChild>
                </w:div>
                <w:div w:id="1940092051">
                  <w:marLeft w:val="0"/>
                  <w:marRight w:val="0"/>
                  <w:marTop w:val="0"/>
                  <w:marBottom w:val="0"/>
                  <w:divBdr>
                    <w:top w:val="none" w:sz="0" w:space="0" w:color="auto"/>
                    <w:left w:val="none" w:sz="0" w:space="0" w:color="auto"/>
                    <w:bottom w:val="none" w:sz="0" w:space="0" w:color="auto"/>
                    <w:right w:val="none" w:sz="0" w:space="0" w:color="auto"/>
                  </w:divBdr>
                  <w:divsChild>
                    <w:div w:id="1414552192">
                      <w:marLeft w:val="0"/>
                      <w:marRight w:val="0"/>
                      <w:marTop w:val="0"/>
                      <w:marBottom w:val="0"/>
                      <w:divBdr>
                        <w:top w:val="none" w:sz="0" w:space="0" w:color="auto"/>
                        <w:left w:val="none" w:sz="0" w:space="0" w:color="auto"/>
                        <w:bottom w:val="none" w:sz="0" w:space="0" w:color="auto"/>
                        <w:right w:val="none" w:sz="0" w:space="0" w:color="auto"/>
                      </w:divBdr>
                    </w:div>
                  </w:divsChild>
                </w:div>
                <w:div w:id="1953708502">
                  <w:marLeft w:val="0"/>
                  <w:marRight w:val="0"/>
                  <w:marTop w:val="0"/>
                  <w:marBottom w:val="0"/>
                  <w:divBdr>
                    <w:top w:val="none" w:sz="0" w:space="0" w:color="auto"/>
                    <w:left w:val="none" w:sz="0" w:space="0" w:color="auto"/>
                    <w:bottom w:val="none" w:sz="0" w:space="0" w:color="auto"/>
                    <w:right w:val="none" w:sz="0" w:space="0" w:color="auto"/>
                  </w:divBdr>
                  <w:divsChild>
                    <w:div w:id="1433012855">
                      <w:marLeft w:val="0"/>
                      <w:marRight w:val="0"/>
                      <w:marTop w:val="0"/>
                      <w:marBottom w:val="0"/>
                      <w:divBdr>
                        <w:top w:val="none" w:sz="0" w:space="0" w:color="auto"/>
                        <w:left w:val="none" w:sz="0" w:space="0" w:color="auto"/>
                        <w:bottom w:val="none" w:sz="0" w:space="0" w:color="auto"/>
                        <w:right w:val="none" w:sz="0" w:space="0" w:color="auto"/>
                      </w:divBdr>
                    </w:div>
                  </w:divsChild>
                </w:div>
                <w:div w:id="1964923345">
                  <w:marLeft w:val="0"/>
                  <w:marRight w:val="0"/>
                  <w:marTop w:val="0"/>
                  <w:marBottom w:val="0"/>
                  <w:divBdr>
                    <w:top w:val="none" w:sz="0" w:space="0" w:color="auto"/>
                    <w:left w:val="none" w:sz="0" w:space="0" w:color="auto"/>
                    <w:bottom w:val="none" w:sz="0" w:space="0" w:color="auto"/>
                    <w:right w:val="none" w:sz="0" w:space="0" w:color="auto"/>
                  </w:divBdr>
                  <w:divsChild>
                    <w:div w:id="901404374">
                      <w:marLeft w:val="0"/>
                      <w:marRight w:val="0"/>
                      <w:marTop w:val="0"/>
                      <w:marBottom w:val="0"/>
                      <w:divBdr>
                        <w:top w:val="none" w:sz="0" w:space="0" w:color="auto"/>
                        <w:left w:val="none" w:sz="0" w:space="0" w:color="auto"/>
                        <w:bottom w:val="none" w:sz="0" w:space="0" w:color="auto"/>
                        <w:right w:val="none" w:sz="0" w:space="0" w:color="auto"/>
                      </w:divBdr>
                    </w:div>
                  </w:divsChild>
                </w:div>
                <w:div w:id="2004963219">
                  <w:marLeft w:val="0"/>
                  <w:marRight w:val="0"/>
                  <w:marTop w:val="0"/>
                  <w:marBottom w:val="0"/>
                  <w:divBdr>
                    <w:top w:val="none" w:sz="0" w:space="0" w:color="auto"/>
                    <w:left w:val="none" w:sz="0" w:space="0" w:color="auto"/>
                    <w:bottom w:val="none" w:sz="0" w:space="0" w:color="auto"/>
                    <w:right w:val="none" w:sz="0" w:space="0" w:color="auto"/>
                  </w:divBdr>
                  <w:divsChild>
                    <w:div w:id="548303883">
                      <w:marLeft w:val="0"/>
                      <w:marRight w:val="0"/>
                      <w:marTop w:val="0"/>
                      <w:marBottom w:val="0"/>
                      <w:divBdr>
                        <w:top w:val="none" w:sz="0" w:space="0" w:color="auto"/>
                        <w:left w:val="none" w:sz="0" w:space="0" w:color="auto"/>
                        <w:bottom w:val="none" w:sz="0" w:space="0" w:color="auto"/>
                        <w:right w:val="none" w:sz="0" w:space="0" w:color="auto"/>
                      </w:divBdr>
                    </w:div>
                  </w:divsChild>
                </w:div>
                <w:div w:id="2022195056">
                  <w:marLeft w:val="0"/>
                  <w:marRight w:val="0"/>
                  <w:marTop w:val="0"/>
                  <w:marBottom w:val="0"/>
                  <w:divBdr>
                    <w:top w:val="none" w:sz="0" w:space="0" w:color="auto"/>
                    <w:left w:val="none" w:sz="0" w:space="0" w:color="auto"/>
                    <w:bottom w:val="none" w:sz="0" w:space="0" w:color="auto"/>
                    <w:right w:val="none" w:sz="0" w:space="0" w:color="auto"/>
                  </w:divBdr>
                  <w:divsChild>
                    <w:div w:id="298804127">
                      <w:marLeft w:val="0"/>
                      <w:marRight w:val="0"/>
                      <w:marTop w:val="0"/>
                      <w:marBottom w:val="0"/>
                      <w:divBdr>
                        <w:top w:val="none" w:sz="0" w:space="0" w:color="auto"/>
                        <w:left w:val="none" w:sz="0" w:space="0" w:color="auto"/>
                        <w:bottom w:val="none" w:sz="0" w:space="0" w:color="auto"/>
                        <w:right w:val="none" w:sz="0" w:space="0" w:color="auto"/>
                      </w:divBdr>
                    </w:div>
                  </w:divsChild>
                </w:div>
                <w:div w:id="2029134388">
                  <w:marLeft w:val="0"/>
                  <w:marRight w:val="0"/>
                  <w:marTop w:val="0"/>
                  <w:marBottom w:val="0"/>
                  <w:divBdr>
                    <w:top w:val="none" w:sz="0" w:space="0" w:color="auto"/>
                    <w:left w:val="none" w:sz="0" w:space="0" w:color="auto"/>
                    <w:bottom w:val="none" w:sz="0" w:space="0" w:color="auto"/>
                    <w:right w:val="none" w:sz="0" w:space="0" w:color="auto"/>
                  </w:divBdr>
                  <w:divsChild>
                    <w:div w:id="781613545">
                      <w:marLeft w:val="0"/>
                      <w:marRight w:val="0"/>
                      <w:marTop w:val="0"/>
                      <w:marBottom w:val="0"/>
                      <w:divBdr>
                        <w:top w:val="none" w:sz="0" w:space="0" w:color="auto"/>
                        <w:left w:val="none" w:sz="0" w:space="0" w:color="auto"/>
                        <w:bottom w:val="none" w:sz="0" w:space="0" w:color="auto"/>
                        <w:right w:val="none" w:sz="0" w:space="0" w:color="auto"/>
                      </w:divBdr>
                    </w:div>
                  </w:divsChild>
                </w:div>
                <w:div w:id="2035377616">
                  <w:marLeft w:val="0"/>
                  <w:marRight w:val="0"/>
                  <w:marTop w:val="0"/>
                  <w:marBottom w:val="0"/>
                  <w:divBdr>
                    <w:top w:val="none" w:sz="0" w:space="0" w:color="auto"/>
                    <w:left w:val="none" w:sz="0" w:space="0" w:color="auto"/>
                    <w:bottom w:val="none" w:sz="0" w:space="0" w:color="auto"/>
                    <w:right w:val="none" w:sz="0" w:space="0" w:color="auto"/>
                  </w:divBdr>
                  <w:divsChild>
                    <w:div w:id="1308323057">
                      <w:marLeft w:val="0"/>
                      <w:marRight w:val="0"/>
                      <w:marTop w:val="0"/>
                      <w:marBottom w:val="0"/>
                      <w:divBdr>
                        <w:top w:val="none" w:sz="0" w:space="0" w:color="auto"/>
                        <w:left w:val="none" w:sz="0" w:space="0" w:color="auto"/>
                        <w:bottom w:val="none" w:sz="0" w:space="0" w:color="auto"/>
                        <w:right w:val="none" w:sz="0" w:space="0" w:color="auto"/>
                      </w:divBdr>
                    </w:div>
                  </w:divsChild>
                </w:div>
                <w:div w:id="2076464528">
                  <w:marLeft w:val="0"/>
                  <w:marRight w:val="0"/>
                  <w:marTop w:val="0"/>
                  <w:marBottom w:val="0"/>
                  <w:divBdr>
                    <w:top w:val="none" w:sz="0" w:space="0" w:color="auto"/>
                    <w:left w:val="none" w:sz="0" w:space="0" w:color="auto"/>
                    <w:bottom w:val="none" w:sz="0" w:space="0" w:color="auto"/>
                    <w:right w:val="none" w:sz="0" w:space="0" w:color="auto"/>
                  </w:divBdr>
                  <w:divsChild>
                    <w:div w:id="301425651">
                      <w:marLeft w:val="0"/>
                      <w:marRight w:val="0"/>
                      <w:marTop w:val="0"/>
                      <w:marBottom w:val="0"/>
                      <w:divBdr>
                        <w:top w:val="none" w:sz="0" w:space="0" w:color="auto"/>
                        <w:left w:val="none" w:sz="0" w:space="0" w:color="auto"/>
                        <w:bottom w:val="none" w:sz="0" w:space="0" w:color="auto"/>
                        <w:right w:val="none" w:sz="0" w:space="0" w:color="auto"/>
                      </w:divBdr>
                    </w:div>
                  </w:divsChild>
                </w:div>
                <w:div w:id="2077194434">
                  <w:marLeft w:val="0"/>
                  <w:marRight w:val="0"/>
                  <w:marTop w:val="0"/>
                  <w:marBottom w:val="0"/>
                  <w:divBdr>
                    <w:top w:val="none" w:sz="0" w:space="0" w:color="auto"/>
                    <w:left w:val="none" w:sz="0" w:space="0" w:color="auto"/>
                    <w:bottom w:val="none" w:sz="0" w:space="0" w:color="auto"/>
                    <w:right w:val="none" w:sz="0" w:space="0" w:color="auto"/>
                  </w:divBdr>
                  <w:divsChild>
                    <w:div w:id="1683698855">
                      <w:marLeft w:val="0"/>
                      <w:marRight w:val="0"/>
                      <w:marTop w:val="0"/>
                      <w:marBottom w:val="0"/>
                      <w:divBdr>
                        <w:top w:val="none" w:sz="0" w:space="0" w:color="auto"/>
                        <w:left w:val="none" w:sz="0" w:space="0" w:color="auto"/>
                        <w:bottom w:val="none" w:sz="0" w:space="0" w:color="auto"/>
                        <w:right w:val="none" w:sz="0" w:space="0" w:color="auto"/>
                      </w:divBdr>
                    </w:div>
                  </w:divsChild>
                </w:div>
                <w:div w:id="2087994022">
                  <w:marLeft w:val="0"/>
                  <w:marRight w:val="0"/>
                  <w:marTop w:val="0"/>
                  <w:marBottom w:val="0"/>
                  <w:divBdr>
                    <w:top w:val="none" w:sz="0" w:space="0" w:color="auto"/>
                    <w:left w:val="none" w:sz="0" w:space="0" w:color="auto"/>
                    <w:bottom w:val="none" w:sz="0" w:space="0" w:color="auto"/>
                    <w:right w:val="none" w:sz="0" w:space="0" w:color="auto"/>
                  </w:divBdr>
                  <w:divsChild>
                    <w:div w:id="358895848">
                      <w:marLeft w:val="0"/>
                      <w:marRight w:val="0"/>
                      <w:marTop w:val="0"/>
                      <w:marBottom w:val="0"/>
                      <w:divBdr>
                        <w:top w:val="none" w:sz="0" w:space="0" w:color="auto"/>
                        <w:left w:val="none" w:sz="0" w:space="0" w:color="auto"/>
                        <w:bottom w:val="none" w:sz="0" w:space="0" w:color="auto"/>
                        <w:right w:val="none" w:sz="0" w:space="0" w:color="auto"/>
                      </w:divBdr>
                    </w:div>
                  </w:divsChild>
                </w:div>
                <w:div w:id="2109350384">
                  <w:marLeft w:val="0"/>
                  <w:marRight w:val="0"/>
                  <w:marTop w:val="0"/>
                  <w:marBottom w:val="0"/>
                  <w:divBdr>
                    <w:top w:val="none" w:sz="0" w:space="0" w:color="auto"/>
                    <w:left w:val="none" w:sz="0" w:space="0" w:color="auto"/>
                    <w:bottom w:val="none" w:sz="0" w:space="0" w:color="auto"/>
                    <w:right w:val="none" w:sz="0" w:space="0" w:color="auto"/>
                  </w:divBdr>
                  <w:divsChild>
                    <w:div w:id="876938987">
                      <w:marLeft w:val="0"/>
                      <w:marRight w:val="0"/>
                      <w:marTop w:val="0"/>
                      <w:marBottom w:val="0"/>
                      <w:divBdr>
                        <w:top w:val="none" w:sz="0" w:space="0" w:color="auto"/>
                        <w:left w:val="none" w:sz="0" w:space="0" w:color="auto"/>
                        <w:bottom w:val="none" w:sz="0" w:space="0" w:color="auto"/>
                        <w:right w:val="none" w:sz="0" w:space="0" w:color="auto"/>
                      </w:divBdr>
                    </w:div>
                  </w:divsChild>
                </w:div>
                <w:div w:id="2121532814">
                  <w:marLeft w:val="0"/>
                  <w:marRight w:val="0"/>
                  <w:marTop w:val="0"/>
                  <w:marBottom w:val="0"/>
                  <w:divBdr>
                    <w:top w:val="none" w:sz="0" w:space="0" w:color="auto"/>
                    <w:left w:val="none" w:sz="0" w:space="0" w:color="auto"/>
                    <w:bottom w:val="none" w:sz="0" w:space="0" w:color="auto"/>
                    <w:right w:val="none" w:sz="0" w:space="0" w:color="auto"/>
                  </w:divBdr>
                  <w:divsChild>
                    <w:div w:id="922494265">
                      <w:marLeft w:val="0"/>
                      <w:marRight w:val="0"/>
                      <w:marTop w:val="0"/>
                      <w:marBottom w:val="0"/>
                      <w:divBdr>
                        <w:top w:val="none" w:sz="0" w:space="0" w:color="auto"/>
                        <w:left w:val="none" w:sz="0" w:space="0" w:color="auto"/>
                        <w:bottom w:val="none" w:sz="0" w:space="0" w:color="auto"/>
                        <w:right w:val="none" w:sz="0" w:space="0" w:color="auto"/>
                      </w:divBdr>
                    </w:div>
                  </w:divsChild>
                </w:div>
                <w:div w:id="2138599018">
                  <w:marLeft w:val="0"/>
                  <w:marRight w:val="0"/>
                  <w:marTop w:val="0"/>
                  <w:marBottom w:val="0"/>
                  <w:divBdr>
                    <w:top w:val="none" w:sz="0" w:space="0" w:color="auto"/>
                    <w:left w:val="none" w:sz="0" w:space="0" w:color="auto"/>
                    <w:bottom w:val="none" w:sz="0" w:space="0" w:color="auto"/>
                    <w:right w:val="none" w:sz="0" w:space="0" w:color="auto"/>
                  </w:divBdr>
                  <w:divsChild>
                    <w:div w:id="15694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259736">
      <w:bodyDiv w:val="1"/>
      <w:marLeft w:val="0"/>
      <w:marRight w:val="0"/>
      <w:marTop w:val="0"/>
      <w:marBottom w:val="0"/>
      <w:divBdr>
        <w:top w:val="none" w:sz="0" w:space="0" w:color="auto"/>
        <w:left w:val="none" w:sz="0" w:space="0" w:color="auto"/>
        <w:bottom w:val="none" w:sz="0" w:space="0" w:color="auto"/>
        <w:right w:val="none" w:sz="0" w:space="0" w:color="auto"/>
      </w:divBdr>
      <w:divsChild>
        <w:div w:id="1483037602">
          <w:marLeft w:val="0"/>
          <w:marRight w:val="0"/>
          <w:marTop w:val="0"/>
          <w:marBottom w:val="0"/>
          <w:divBdr>
            <w:top w:val="none" w:sz="0" w:space="0" w:color="auto"/>
            <w:left w:val="none" w:sz="0" w:space="0" w:color="auto"/>
            <w:bottom w:val="none" w:sz="0" w:space="0" w:color="auto"/>
            <w:right w:val="none" w:sz="0" w:space="0" w:color="auto"/>
          </w:divBdr>
        </w:div>
        <w:div w:id="2039040627">
          <w:marLeft w:val="0"/>
          <w:marRight w:val="0"/>
          <w:marTop w:val="0"/>
          <w:marBottom w:val="0"/>
          <w:divBdr>
            <w:top w:val="none" w:sz="0" w:space="0" w:color="auto"/>
            <w:left w:val="none" w:sz="0" w:space="0" w:color="auto"/>
            <w:bottom w:val="none" w:sz="0" w:space="0" w:color="auto"/>
            <w:right w:val="none" w:sz="0" w:space="0" w:color="auto"/>
          </w:divBdr>
        </w:div>
        <w:div w:id="267586733">
          <w:marLeft w:val="0"/>
          <w:marRight w:val="0"/>
          <w:marTop w:val="0"/>
          <w:marBottom w:val="0"/>
          <w:divBdr>
            <w:top w:val="none" w:sz="0" w:space="0" w:color="auto"/>
            <w:left w:val="none" w:sz="0" w:space="0" w:color="auto"/>
            <w:bottom w:val="none" w:sz="0" w:space="0" w:color="auto"/>
            <w:right w:val="none" w:sz="0" w:space="0" w:color="auto"/>
          </w:divBdr>
        </w:div>
      </w:divsChild>
    </w:div>
    <w:div w:id="1285573393">
      <w:bodyDiv w:val="1"/>
      <w:marLeft w:val="0"/>
      <w:marRight w:val="0"/>
      <w:marTop w:val="0"/>
      <w:marBottom w:val="0"/>
      <w:divBdr>
        <w:top w:val="none" w:sz="0" w:space="0" w:color="auto"/>
        <w:left w:val="none" w:sz="0" w:space="0" w:color="auto"/>
        <w:bottom w:val="none" w:sz="0" w:space="0" w:color="auto"/>
        <w:right w:val="none" w:sz="0" w:space="0" w:color="auto"/>
      </w:divBdr>
    </w:div>
    <w:div w:id="1302688321">
      <w:bodyDiv w:val="1"/>
      <w:marLeft w:val="0"/>
      <w:marRight w:val="0"/>
      <w:marTop w:val="0"/>
      <w:marBottom w:val="0"/>
      <w:divBdr>
        <w:top w:val="none" w:sz="0" w:space="0" w:color="auto"/>
        <w:left w:val="none" w:sz="0" w:space="0" w:color="auto"/>
        <w:bottom w:val="none" w:sz="0" w:space="0" w:color="auto"/>
        <w:right w:val="none" w:sz="0" w:space="0" w:color="auto"/>
      </w:divBdr>
    </w:div>
    <w:div w:id="1437092393">
      <w:bodyDiv w:val="1"/>
      <w:marLeft w:val="0"/>
      <w:marRight w:val="0"/>
      <w:marTop w:val="0"/>
      <w:marBottom w:val="0"/>
      <w:divBdr>
        <w:top w:val="none" w:sz="0" w:space="0" w:color="auto"/>
        <w:left w:val="none" w:sz="0" w:space="0" w:color="auto"/>
        <w:bottom w:val="none" w:sz="0" w:space="0" w:color="auto"/>
        <w:right w:val="none" w:sz="0" w:space="0" w:color="auto"/>
      </w:divBdr>
    </w:div>
    <w:div w:id="1559972530">
      <w:bodyDiv w:val="1"/>
      <w:marLeft w:val="0"/>
      <w:marRight w:val="0"/>
      <w:marTop w:val="0"/>
      <w:marBottom w:val="0"/>
      <w:divBdr>
        <w:top w:val="none" w:sz="0" w:space="0" w:color="auto"/>
        <w:left w:val="none" w:sz="0" w:space="0" w:color="auto"/>
        <w:bottom w:val="none" w:sz="0" w:space="0" w:color="auto"/>
        <w:right w:val="none" w:sz="0" w:space="0" w:color="auto"/>
      </w:divBdr>
    </w:div>
    <w:div w:id="1877616719">
      <w:bodyDiv w:val="1"/>
      <w:marLeft w:val="0"/>
      <w:marRight w:val="0"/>
      <w:marTop w:val="0"/>
      <w:marBottom w:val="0"/>
      <w:divBdr>
        <w:top w:val="none" w:sz="0" w:space="0" w:color="auto"/>
        <w:left w:val="none" w:sz="0" w:space="0" w:color="auto"/>
        <w:bottom w:val="none" w:sz="0" w:space="0" w:color="auto"/>
        <w:right w:val="none" w:sz="0" w:space="0" w:color="auto"/>
      </w:divBdr>
    </w:div>
    <w:div w:id="2046441278">
      <w:bodyDiv w:val="1"/>
      <w:marLeft w:val="0"/>
      <w:marRight w:val="0"/>
      <w:marTop w:val="0"/>
      <w:marBottom w:val="0"/>
      <w:divBdr>
        <w:top w:val="none" w:sz="0" w:space="0" w:color="auto"/>
        <w:left w:val="none" w:sz="0" w:space="0" w:color="auto"/>
        <w:bottom w:val="none" w:sz="0" w:space="0" w:color="auto"/>
        <w:right w:val="none" w:sz="0" w:space="0" w:color="auto"/>
      </w:divBdr>
      <w:divsChild>
        <w:div w:id="159540916">
          <w:marLeft w:val="0"/>
          <w:marRight w:val="0"/>
          <w:marTop w:val="0"/>
          <w:marBottom w:val="0"/>
          <w:divBdr>
            <w:top w:val="none" w:sz="0" w:space="0" w:color="auto"/>
            <w:left w:val="none" w:sz="0" w:space="0" w:color="auto"/>
            <w:bottom w:val="none" w:sz="0" w:space="0" w:color="auto"/>
            <w:right w:val="none" w:sz="0" w:space="0" w:color="auto"/>
          </w:divBdr>
        </w:div>
        <w:div w:id="280037824">
          <w:marLeft w:val="0"/>
          <w:marRight w:val="0"/>
          <w:marTop w:val="0"/>
          <w:marBottom w:val="0"/>
          <w:divBdr>
            <w:top w:val="none" w:sz="0" w:space="0" w:color="auto"/>
            <w:left w:val="none" w:sz="0" w:space="0" w:color="auto"/>
            <w:bottom w:val="none" w:sz="0" w:space="0" w:color="auto"/>
            <w:right w:val="none" w:sz="0" w:space="0" w:color="auto"/>
          </w:divBdr>
        </w:div>
        <w:div w:id="509639705">
          <w:marLeft w:val="0"/>
          <w:marRight w:val="0"/>
          <w:marTop w:val="0"/>
          <w:marBottom w:val="0"/>
          <w:divBdr>
            <w:top w:val="none" w:sz="0" w:space="0" w:color="auto"/>
            <w:left w:val="none" w:sz="0" w:space="0" w:color="auto"/>
            <w:bottom w:val="none" w:sz="0" w:space="0" w:color="auto"/>
            <w:right w:val="none" w:sz="0" w:space="0" w:color="auto"/>
          </w:divBdr>
        </w:div>
        <w:div w:id="634287719">
          <w:marLeft w:val="0"/>
          <w:marRight w:val="0"/>
          <w:marTop w:val="0"/>
          <w:marBottom w:val="0"/>
          <w:divBdr>
            <w:top w:val="none" w:sz="0" w:space="0" w:color="auto"/>
            <w:left w:val="none" w:sz="0" w:space="0" w:color="auto"/>
            <w:bottom w:val="none" w:sz="0" w:space="0" w:color="auto"/>
            <w:right w:val="none" w:sz="0" w:space="0" w:color="auto"/>
          </w:divBdr>
        </w:div>
        <w:div w:id="696001505">
          <w:marLeft w:val="0"/>
          <w:marRight w:val="0"/>
          <w:marTop w:val="0"/>
          <w:marBottom w:val="0"/>
          <w:divBdr>
            <w:top w:val="none" w:sz="0" w:space="0" w:color="auto"/>
            <w:left w:val="none" w:sz="0" w:space="0" w:color="auto"/>
            <w:bottom w:val="none" w:sz="0" w:space="0" w:color="auto"/>
            <w:right w:val="none" w:sz="0" w:space="0" w:color="auto"/>
          </w:divBdr>
        </w:div>
        <w:div w:id="1111172713">
          <w:marLeft w:val="0"/>
          <w:marRight w:val="0"/>
          <w:marTop w:val="0"/>
          <w:marBottom w:val="0"/>
          <w:divBdr>
            <w:top w:val="none" w:sz="0" w:space="0" w:color="auto"/>
            <w:left w:val="none" w:sz="0" w:space="0" w:color="auto"/>
            <w:bottom w:val="none" w:sz="0" w:space="0" w:color="auto"/>
            <w:right w:val="none" w:sz="0" w:space="0" w:color="auto"/>
          </w:divBdr>
        </w:div>
        <w:div w:id="1445877706">
          <w:marLeft w:val="0"/>
          <w:marRight w:val="0"/>
          <w:marTop w:val="0"/>
          <w:marBottom w:val="0"/>
          <w:divBdr>
            <w:top w:val="none" w:sz="0" w:space="0" w:color="auto"/>
            <w:left w:val="none" w:sz="0" w:space="0" w:color="auto"/>
            <w:bottom w:val="none" w:sz="0" w:space="0" w:color="auto"/>
            <w:right w:val="none" w:sz="0" w:space="0" w:color="auto"/>
          </w:divBdr>
        </w:div>
        <w:div w:id="20826351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seea.un.org/content/seea-eea-carbon-account-netherlands"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ipcc.ch/report/ar6/wg3/chapter/chapter-9"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5.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unfccc.int/sites/default/files/resource/cp2019__L10E_adv.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1F497D"/>
      </a:dk2>
      <a:lt2>
        <a:srgbClr val="EEECE1"/>
      </a:lt2>
      <a:accent1>
        <a:srgbClr val="197598"/>
      </a:accent1>
      <a:accent2>
        <a:srgbClr val="7AC7DC"/>
      </a:accent2>
      <a:accent3>
        <a:srgbClr val="68A1D7"/>
      </a:accent3>
      <a:accent4>
        <a:srgbClr val="414042"/>
      </a:accent4>
      <a:accent5>
        <a:srgbClr val="E7BF8C"/>
      </a:accent5>
      <a:accent6>
        <a:srgbClr val="DEE787"/>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a531e88-588c-4c7a-a4b1-030a60e806bf">
      <Terms xmlns="http://schemas.microsoft.com/office/infopath/2007/PartnerControls"/>
    </lcf76f155ced4ddcb4097134ff3c332f>
    <TaxCatchAll xmlns="940e900a-e16b-4183-ad8f-3d66137f48f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D1E6D509FB6904DBDA847452C56C930" ma:contentTypeVersion="13" ma:contentTypeDescription="Create a new document." ma:contentTypeScope="" ma:versionID="99e49586bf982c5c8f071a03732275c3">
  <xsd:schema xmlns:xsd="http://www.w3.org/2001/XMLSchema" xmlns:xs="http://www.w3.org/2001/XMLSchema" xmlns:p="http://schemas.microsoft.com/office/2006/metadata/properties" xmlns:ns2="6a531e88-588c-4c7a-a4b1-030a60e806bf" xmlns:ns3="940e900a-e16b-4183-ad8f-3d66137f48f1" targetNamespace="http://schemas.microsoft.com/office/2006/metadata/properties" ma:root="true" ma:fieldsID="190447cf1d3613de5f1ae251b4b3fd19" ns2:_="" ns3:_="">
    <xsd:import namespace="6a531e88-588c-4c7a-a4b1-030a60e806bf"/>
    <xsd:import namespace="940e900a-e16b-4183-ad8f-3d66137f4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531e88-588c-4c7a-a4b1-030a60e80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50ef9da-b5a4-4dea-92e9-1fe85f639b9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0e900a-e16b-4183-ad8f-3d66137f4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9bddd3d-14bb-43cf-9d6a-fb5139894526}" ma:internalName="TaxCatchAll" ma:showField="CatchAllData" ma:web="940e900a-e16b-4183-ad8f-3d66137f4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FF600-EDE1-45CC-B1A0-178EAAF3B638}">
  <ds:schemaRefs>
    <ds:schemaRef ds:uri="http://schemas.openxmlformats.org/officeDocument/2006/bibliography"/>
  </ds:schemaRefs>
</ds:datastoreItem>
</file>

<file path=customXml/itemProps2.xml><?xml version="1.0" encoding="utf-8"?>
<ds:datastoreItem xmlns:ds="http://schemas.openxmlformats.org/officeDocument/2006/customXml" ds:itemID="{402BC3DE-56B8-43D7-9437-CE2CAC07758E}">
  <ds:schemaRefs>
    <ds:schemaRef ds:uri="http://schemas.microsoft.com/office/2006/metadata/properties"/>
    <ds:schemaRef ds:uri="http://schemas.microsoft.com/office/infopath/2007/PartnerControls"/>
    <ds:schemaRef ds:uri="6a531e88-588c-4c7a-a4b1-030a60e806bf"/>
    <ds:schemaRef ds:uri="940e900a-e16b-4183-ad8f-3d66137f48f1"/>
  </ds:schemaRefs>
</ds:datastoreItem>
</file>

<file path=customXml/itemProps3.xml><?xml version="1.0" encoding="utf-8"?>
<ds:datastoreItem xmlns:ds="http://schemas.openxmlformats.org/officeDocument/2006/customXml" ds:itemID="{2B75AA53-940D-4172-9CEF-C35E6ADC9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531e88-588c-4c7a-a4b1-030a60e806bf"/>
    <ds:schemaRef ds:uri="940e900a-e16b-4183-ad8f-3d66137f4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A8F900-2432-4BCD-BBA4-0F95E09F7B98}">
  <ds:schemaRefs>
    <ds:schemaRef ds:uri="http://schemas.microsoft.com/sharepoint/v3/contenttype/forms"/>
  </ds:schemaRefs>
</ds:datastoreItem>
</file>

<file path=docMetadata/LabelInfo.xml><?xml version="1.0" encoding="utf-8"?>
<clbl:labelList xmlns:clbl="http://schemas.microsoft.com/office/2020/mipLabelMetadata">
  <clbl:label id="{0507654c-1543-47e1-81c5-300c2627be14}" enabled="1" method="Standard" siteId="{5a7cc8ab-a4dc-4f9b-bf60-66714049ad62}" removed="0"/>
  <clbl:label id="{8b77875e-5908-45a0-9cb4-dec9ae074618}" enabled="1" method="Privileged" siteId="{0f9e35db-544f-4f60-bdcc-5ea416e6dc70}" removed="0"/>
</clbl:labelList>
</file>

<file path=docProps/app.xml><?xml version="1.0" encoding="utf-8"?>
<Properties xmlns="http://schemas.openxmlformats.org/officeDocument/2006/extended-properties" xmlns:vt="http://schemas.openxmlformats.org/officeDocument/2006/docPropsVTypes">
  <Template>Normal.dotm</Template>
  <TotalTime>52</TotalTime>
  <Pages>42</Pages>
  <Words>16299</Words>
  <Characters>88509</Characters>
  <Application>Microsoft Office Word</Application>
  <DocSecurity>0</DocSecurity>
  <Lines>1475</Lines>
  <Paragraphs>444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HP</Company>
  <LinksUpToDate>false</LinksUpToDate>
  <CharactersWithSpaces>104364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Havinga</dc:creator>
  <cp:keywords/>
  <cp:lastModifiedBy>Elsa Marcela Begne De Larrea</cp:lastModifiedBy>
  <cp:revision>4</cp:revision>
  <cp:lastPrinted>2025-09-09T04:24:00Z</cp:lastPrinted>
  <dcterms:created xsi:type="dcterms:W3CDTF">2026-09-01T15:47:00Z</dcterms:created>
  <dcterms:modified xsi:type="dcterms:W3CDTF">2026-09-01T16:38:00Z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0x0101008D1E6D509FB6904DBDA847452C56C930</vt:lpwstr>
  </property>
  <property fmtid="{D5CDD505-2E9C-101B-9397-08002B2CF9AE}" pid="3" name="MediaServiceImageTags">
    <vt:lpwstr/>
  </property>
</Properties>
</file>